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D7" w:rsidRDefault="008660D7" w:rsidP="00977DBB">
      <w:pPr>
        <w:spacing w:line="276" w:lineRule="auto"/>
        <w:ind w:left="1560"/>
        <w:jc w:val="center"/>
        <w:rPr>
          <w:rFonts w:ascii="Arial" w:hAnsi="Arial" w:cs="Arial"/>
          <w:b/>
          <w:sz w:val="28"/>
          <w:szCs w:val="28"/>
        </w:rPr>
      </w:pPr>
      <w:r w:rsidRPr="00A13CB3">
        <w:rPr>
          <w:rFonts w:ascii="Arial" w:hAnsi="Arial" w:cs="Arial"/>
          <w:b/>
          <w:sz w:val="28"/>
          <w:szCs w:val="28"/>
        </w:rPr>
        <w:t xml:space="preserve">INVITATION </w:t>
      </w:r>
      <w:r>
        <w:rPr>
          <w:rFonts w:ascii="Arial" w:hAnsi="Arial" w:cs="Arial"/>
          <w:b/>
          <w:sz w:val="28"/>
          <w:szCs w:val="28"/>
        </w:rPr>
        <w:t>F</w:t>
      </w:r>
      <w:r w:rsidRPr="00A13CB3">
        <w:rPr>
          <w:rFonts w:ascii="Arial" w:hAnsi="Arial" w:cs="Arial"/>
          <w:b/>
          <w:sz w:val="28"/>
          <w:szCs w:val="28"/>
        </w:rPr>
        <w:t>O</w:t>
      </w:r>
      <w:r>
        <w:rPr>
          <w:rFonts w:ascii="Arial" w:hAnsi="Arial" w:cs="Arial"/>
          <w:b/>
          <w:sz w:val="28"/>
          <w:szCs w:val="28"/>
        </w:rPr>
        <w:t>R</w:t>
      </w:r>
      <w:r w:rsidRPr="00A13CB3">
        <w:rPr>
          <w:rFonts w:ascii="Arial" w:hAnsi="Arial" w:cs="Arial"/>
          <w:b/>
          <w:sz w:val="28"/>
          <w:szCs w:val="28"/>
        </w:rPr>
        <w:t xml:space="preserve"> TENDERERS</w:t>
      </w:r>
    </w:p>
    <w:p w:rsidR="00977DBB" w:rsidRPr="007241B4" w:rsidRDefault="00977DBB" w:rsidP="00977DBB">
      <w:pPr>
        <w:tabs>
          <w:tab w:val="left" w:pos="1134"/>
        </w:tabs>
        <w:jc w:val="center"/>
        <w:rPr>
          <w:rFonts w:ascii="Arial" w:hAnsi="Arial" w:cs="Arial"/>
        </w:rPr>
      </w:pPr>
      <w:r w:rsidRPr="00720749">
        <w:rPr>
          <w:rFonts w:ascii="Arial" w:hAnsi="Arial" w:cs="Arial"/>
        </w:rPr>
        <w:t xml:space="preserve">Procurement </w:t>
      </w:r>
      <w:r>
        <w:rPr>
          <w:rFonts w:ascii="Arial" w:hAnsi="Arial" w:cs="Arial"/>
        </w:rPr>
        <w:t xml:space="preserve">of </w:t>
      </w:r>
      <w:r w:rsidRPr="006A4F65">
        <w:rPr>
          <w:rFonts w:ascii="Arial" w:hAnsi="Arial" w:cs="Arial"/>
          <w:szCs w:val="24"/>
        </w:rPr>
        <w:t>Infrastructure for Coal Quality Management System</w:t>
      </w:r>
      <w:r>
        <w:rPr>
          <w:rFonts w:ascii="Arial" w:hAnsi="Arial" w:cs="Arial"/>
          <w:szCs w:val="24"/>
        </w:rPr>
        <w:t xml:space="preserve"> for </w:t>
      </w:r>
      <w:r w:rsidRPr="006A4F65">
        <w:rPr>
          <w:rFonts w:ascii="Arial" w:hAnsi="Arial" w:cs="Arial"/>
          <w:szCs w:val="24"/>
        </w:rPr>
        <w:t xml:space="preserve">Operation on the Stockyard of </w:t>
      </w:r>
      <w:proofErr w:type="spellStart"/>
      <w:r w:rsidRPr="006A4F65">
        <w:rPr>
          <w:rFonts w:ascii="Arial" w:hAnsi="Arial" w:cs="Arial"/>
          <w:szCs w:val="24"/>
        </w:rPr>
        <w:t>Tamnava</w:t>
      </w:r>
      <w:proofErr w:type="spellEnd"/>
      <w:r w:rsidRPr="006A4F65">
        <w:rPr>
          <w:rFonts w:ascii="Arial" w:hAnsi="Arial" w:cs="Arial"/>
          <w:szCs w:val="24"/>
        </w:rPr>
        <w:t xml:space="preserve"> West OPM</w:t>
      </w:r>
      <w:r>
        <w:rPr>
          <w:rFonts w:ascii="Arial" w:hAnsi="Arial" w:cs="Arial"/>
        </w:rPr>
        <w:t xml:space="preserve"> – </w:t>
      </w:r>
      <w:bookmarkStart w:id="0" w:name="_GoBack"/>
      <w:bookmarkEnd w:id="0"/>
      <w:r w:rsidRPr="0008254E">
        <w:rPr>
          <w:rFonts w:ascii="Arial" w:hAnsi="Arial" w:cs="Arial"/>
        </w:rPr>
        <w:t>No.</w:t>
      </w:r>
      <w:r w:rsidR="0008254E" w:rsidRPr="0008254E">
        <w:rPr>
          <w:rFonts w:ascii="Arial" w:hAnsi="Arial" w:cs="Arial"/>
        </w:rPr>
        <w:t>124</w:t>
      </w:r>
      <w:r w:rsidRPr="0008254E">
        <w:rPr>
          <w:rFonts w:ascii="Arial" w:hAnsi="Arial" w:cs="Arial"/>
        </w:rPr>
        <w:t>/14/DSI</w:t>
      </w:r>
    </w:p>
    <w:p w:rsidR="00977DBB" w:rsidRPr="00A13CB3" w:rsidRDefault="00977DBB" w:rsidP="008660D7">
      <w:pPr>
        <w:ind w:left="1560"/>
        <w:jc w:val="center"/>
        <w:rPr>
          <w:rFonts w:ascii="Arial" w:hAnsi="Arial" w:cs="Arial"/>
          <w:b/>
          <w:sz w:val="28"/>
          <w:szCs w:val="28"/>
        </w:rPr>
      </w:pPr>
    </w:p>
    <w:p w:rsidR="008660D7" w:rsidRPr="00CE255C" w:rsidRDefault="008660D7" w:rsidP="008660D7">
      <w:pPr>
        <w:pStyle w:val="BodyText"/>
        <w:numPr>
          <w:ilvl w:val="0"/>
          <w:numId w:val="2"/>
        </w:numPr>
        <w:tabs>
          <w:tab w:val="left" w:pos="709"/>
        </w:tabs>
        <w:suppressAutoHyphens w:val="0"/>
        <w:ind w:left="709" w:right="0" w:hanging="703"/>
        <w:rPr>
          <w:rFonts w:ascii="Arial" w:hAnsi="Arial" w:cs="Arial"/>
          <w:szCs w:val="24"/>
        </w:rPr>
      </w:pPr>
      <w:r w:rsidRPr="00CE255C">
        <w:rPr>
          <w:rFonts w:ascii="Arial" w:hAnsi="Arial" w:cs="Arial"/>
          <w:szCs w:val="24"/>
        </w:rPr>
        <w:t xml:space="preserve">For procurement of </w:t>
      </w:r>
      <w:r w:rsidRPr="008660D7">
        <w:rPr>
          <w:rFonts w:ascii="Arial" w:hAnsi="Arial" w:cs="Arial"/>
          <w:szCs w:val="24"/>
        </w:rPr>
        <w:t xml:space="preserve"> </w:t>
      </w:r>
      <w:r w:rsidRPr="006A4F65">
        <w:rPr>
          <w:rFonts w:ascii="Arial" w:hAnsi="Arial" w:cs="Arial"/>
          <w:szCs w:val="24"/>
        </w:rPr>
        <w:t>Infrastructure for Coal Quality Management System</w:t>
      </w:r>
      <w:r>
        <w:rPr>
          <w:rFonts w:ascii="Arial" w:hAnsi="Arial" w:cs="Arial"/>
          <w:szCs w:val="24"/>
        </w:rPr>
        <w:t xml:space="preserve"> for </w:t>
      </w:r>
      <w:r w:rsidRPr="006A4F65">
        <w:rPr>
          <w:rFonts w:ascii="Arial" w:hAnsi="Arial" w:cs="Arial"/>
          <w:szCs w:val="24"/>
        </w:rPr>
        <w:t xml:space="preserve">Operation on the Stockyard of </w:t>
      </w:r>
      <w:proofErr w:type="spellStart"/>
      <w:r w:rsidRPr="006A4F65">
        <w:rPr>
          <w:rFonts w:ascii="Arial" w:hAnsi="Arial" w:cs="Arial"/>
          <w:szCs w:val="24"/>
        </w:rPr>
        <w:t>Tamnava</w:t>
      </w:r>
      <w:proofErr w:type="spellEnd"/>
      <w:r w:rsidRPr="006A4F65">
        <w:rPr>
          <w:rFonts w:ascii="Arial" w:hAnsi="Arial" w:cs="Arial"/>
          <w:szCs w:val="24"/>
        </w:rPr>
        <w:t xml:space="preserve"> West OPM</w:t>
      </w:r>
      <w:r>
        <w:rPr>
          <w:rFonts w:ascii="Arial" w:hAnsi="Arial" w:cs="Arial"/>
          <w:szCs w:val="24"/>
        </w:rPr>
        <w:t xml:space="preserve"> </w:t>
      </w:r>
      <w:r w:rsidRPr="00CE255C">
        <w:rPr>
          <w:rFonts w:ascii="Arial" w:hAnsi="Arial" w:cs="Arial"/>
          <w:szCs w:val="24"/>
        </w:rPr>
        <w:t xml:space="preserve">under standard KFW procedure for Supply and Work Contracts under Financial Cooperation with Partner Countries (Link: </w:t>
      </w:r>
      <w:hyperlink r:id="rId8" w:history="1">
        <w:r w:rsidRPr="00CE255C">
          <w:rPr>
            <w:rStyle w:val="Hyperlink"/>
            <w:rFonts w:ascii="Arial" w:hAnsi="Arial" w:cs="Arial"/>
            <w:szCs w:val="24"/>
          </w:rPr>
          <w:t>https://www.kfw-entwicklungsbank.de/Download-</w:t>
        </w:r>
        <w:r w:rsidRPr="00CE255C">
          <w:rPr>
            <w:rStyle w:val="Hyperlink"/>
            <w:rFonts w:ascii="Arial" w:hAnsi="Arial" w:cs="Arial"/>
            <w:szCs w:val="24"/>
          </w:rPr>
          <w:tab/>
          <w:t>Center/PDF-</w:t>
        </w:r>
        <w:r w:rsidRPr="00CE255C">
          <w:rPr>
            <w:rStyle w:val="Hyperlink"/>
            <w:rFonts w:ascii="Arial" w:hAnsi="Arial" w:cs="Arial"/>
            <w:szCs w:val="24"/>
          </w:rPr>
          <w:tab/>
        </w:r>
        <w:proofErr w:type="spellStart"/>
        <w:r w:rsidRPr="00CE255C">
          <w:rPr>
            <w:rStyle w:val="Hyperlink"/>
            <w:rFonts w:ascii="Arial" w:hAnsi="Arial" w:cs="Arial"/>
            <w:szCs w:val="24"/>
          </w:rPr>
          <w:t>Dokumente-Richtlinien</w:t>
        </w:r>
        <w:proofErr w:type="spellEnd"/>
        <w:r w:rsidRPr="00CE255C">
          <w:rPr>
            <w:rStyle w:val="Hyperlink"/>
            <w:rFonts w:ascii="Arial" w:hAnsi="Arial" w:cs="Arial"/>
            <w:szCs w:val="24"/>
          </w:rPr>
          <w:t>/Vergabe-E.pdf</w:t>
        </w:r>
      </w:hyperlink>
      <w:r w:rsidRPr="00CE255C">
        <w:rPr>
          <w:rFonts w:ascii="Arial" w:hAnsi="Arial" w:cs="Arial"/>
          <w:szCs w:val="24"/>
        </w:rPr>
        <w:t>.)</w:t>
      </w:r>
    </w:p>
    <w:p w:rsidR="008660D7" w:rsidRPr="00CE255C" w:rsidRDefault="008660D7" w:rsidP="008660D7">
      <w:pPr>
        <w:pStyle w:val="BodyText"/>
        <w:tabs>
          <w:tab w:val="left" w:pos="709"/>
        </w:tabs>
        <w:ind w:left="6"/>
        <w:rPr>
          <w:rFonts w:ascii="Arial" w:hAnsi="Arial" w:cs="Arial"/>
          <w:szCs w:val="24"/>
        </w:rPr>
      </w:pPr>
    </w:p>
    <w:p w:rsidR="008660D7" w:rsidRPr="00CE255C" w:rsidRDefault="008660D7" w:rsidP="008660D7">
      <w:pPr>
        <w:pStyle w:val="BodyText"/>
        <w:numPr>
          <w:ilvl w:val="0"/>
          <w:numId w:val="2"/>
        </w:numPr>
        <w:tabs>
          <w:tab w:val="left" w:pos="709"/>
        </w:tabs>
        <w:suppressAutoHyphens w:val="0"/>
        <w:ind w:left="709" w:right="0" w:hanging="703"/>
        <w:rPr>
          <w:rFonts w:ascii="Arial" w:hAnsi="Arial" w:cs="Arial"/>
        </w:rPr>
      </w:pPr>
      <w:r w:rsidRPr="00CE255C">
        <w:rPr>
          <w:rFonts w:ascii="Arial" w:hAnsi="Arial" w:cs="Arial"/>
        </w:rPr>
        <w:t xml:space="preserve">The Employer intends to use part of the proceeds </w:t>
      </w:r>
      <w:r w:rsidRPr="00C479C6">
        <w:rPr>
          <w:rFonts w:ascii="Arial" w:hAnsi="Arial" w:cs="Arial"/>
        </w:rPr>
        <w:t xml:space="preserve">from a loan </w:t>
      </w:r>
      <w:r w:rsidRPr="00CE255C">
        <w:rPr>
          <w:rFonts w:ascii="Arial" w:hAnsi="Arial" w:cs="Arial"/>
        </w:rPr>
        <w:t>of</w:t>
      </w:r>
      <w:r w:rsidRPr="00CE255C">
        <w:rPr>
          <w:rFonts w:ascii="Arial" w:hAnsi="Arial" w:cs="Arial"/>
        </w:rPr>
        <w:br/>
      </w:r>
      <w:proofErr w:type="spellStart"/>
      <w:r w:rsidRPr="00CE255C">
        <w:rPr>
          <w:rFonts w:ascii="Arial" w:hAnsi="Arial" w:cs="Arial"/>
        </w:rPr>
        <w:t>KfW-Bankengruppe</w:t>
      </w:r>
      <w:proofErr w:type="spellEnd"/>
      <w:r w:rsidRPr="00CE255C">
        <w:rPr>
          <w:rFonts w:ascii="Arial" w:hAnsi="Arial" w:cs="Arial"/>
        </w:rPr>
        <w:t xml:space="preserve"> (</w:t>
      </w:r>
      <w:proofErr w:type="spellStart"/>
      <w:r w:rsidRPr="00CE255C">
        <w:rPr>
          <w:rFonts w:ascii="Arial" w:hAnsi="Arial" w:cs="Arial"/>
        </w:rPr>
        <w:t>KfW</w:t>
      </w:r>
      <w:proofErr w:type="spellEnd"/>
      <w:r w:rsidRPr="00CE255C">
        <w:rPr>
          <w:rFonts w:ascii="Arial" w:hAnsi="Arial" w:cs="Arial"/>
        </w:rPr>
        <w:t xml:space="preserve"> Bank) for eligible payments under the contract for which this Invitation for Tenders is issued.</w:t>
      </w:r>
    </w:p>
    <w:p w:rsidR="008660D7" w:rsidRPr="00CE255C" w:rsidRDefault="008660D7" w:rsidP="008660D7">
      <w:pPr>
        <w:pStyle w:val="BodyText"/>
        <w:tabs>
          <w:tab w:val="left" w:pos="709"/>
        </w:tabs>
        <w:ind w:left="6"/>
        <w:rPr>
          <w:rFonts w:ascii="Arial" w:hAnsi="Arial" w:cs="Arial"/>
        </w:rPr>
      </w:pPr>
    </w:p>
    <w:p w:rsidR="008660D7" w:rsidRPr="00CE255C" w:rsidRDefault="008660D7" w:rsidP="008660D7">
      <w:pPr>
        <w:pStyle w:val="BodyText"/>
        <w:numPr>
          <w:ilvl w:val="0"/>
          <w:numId w:val="2"/>
        </w:numPr>
        <w:tabs>
          <w:tab w:val="left" w:pos="709"/>
        </w:tabs>
        <w:suppressAutoHyphens w:val="0"/>
        <w:ind w:left="709" w:right="0" w:hanging="703"/>
        <w:rPr>
          <w:rFonts w:ascii="Arial" w:hAnsi="Arial" w:cs="Arial"/>
          <w:szCs w:val="24"/>
        </w:rPr>
      </w:pPr>
      <w:r w:rsidRPr="00CE255C">
        <w:rPr>
          <w:rFonts w:ascii="Arial" w:hAnsi="Arial" w:cs="Arial"/>
          <w:szCs w:val="24"/>
        </w:rPr>
        <w:t>Invitation for tendering, and tendering itself, is preferable to Tenderers which conduct significant portion of their production in domiciled countries and that do not resort to supplies of services from third countries.</w:t>
      </w:r>
    </w:p>
    <w:p w:rsidR="008660D7" w:rsidRPr="00CE255C" w:rsidRDefault="008660D7" w:rsidP="008660D7">
      <w:pPr>
        <w:pStyle w:val="BodyText"/>
        <w:tabs>
          <w:tab w:val="left" w:pos="709"/>
        </w:tabs>
        <w:ind w:left="6"/>
        <w:rPr>
          <w:rFonts w:ascii="Arial" w:hAnsi="Arial" w:cs="Arial"/>
        </w:rPr>
      </w:pPr>
    </w:p>
    <w:p w:rsidR="008660D7" w:rsidRPr="00CE255C" w:rsidRDefault="008660D7" w:rsidP="008660D7">
      <w:pPr>
        <w:pStyle w:val="BodyText"/>
        <w:numPr>
          <w:ilvl w:val="0"/>
          <w:numId w:val="2"/>
        </w:numPr>
        <w:tabs>
          <w:tab w:val="left" w:pos="709"/>
        </w:tabs>
        <w:suppressAutoHyphens w:val="0"/>
        <w:ind w:left="709" w:right="0" w:hanging="703"/>
        <w:rPr>
          <w:rFonts w:ascii="Arial" w:hAnsi="Arial" w:cs="Arial"/>
        </w:rPr>
      </w:pPr>
      <w:r w:rsidRPr="00CE255C">
        <w:rPr>
          <w:rFonts w:ascii="Arial" w:hAnsi="Arial" w:cs="Arial"/>
        </w:rPr>
        <w:t>The Works which are subject of the Tender have to be completely executed in accordance with the Contract, generally include :</w:t>
      </w:r>
    </w:p>
    <w:p w:rsidR="008660D7" w:rsidRPr="00CE255C" w:rsidRDefault="008660D7" w:rsidP="008660D7">
      <w:pPr>
        <w:pStyle w:val="BodyText"/>
        <w:tabs>
          <w:tab w:val="left" w:pos="709"/>
        </w:tabs>
        <w:ind w:left="709" w:hanging="709"/>
        <w:rPr>
          <w:rFonts w:ascii="Arial" w:hAnsi="Arial" w:cs="Arial"/>
          <w:sz w:val="16"/>
          <w:szCs w:val="16"/>
        </w:rPr>
      </w:pPr>
    </w:p>
    <w:p w:rsidR="008660D7" w:rsidRPr="00CE255C" w:rsidRDefault="008660D7" w:rsidP="008660D7">
      <w:pPr>
        <w:tabs>
          <w:tab w:val="left" w:pos="284"/>
          <w:tab w:val="left" w:pos="851"/>
        </w:tabs>
        <w:ind w:left="1701" w:hanging="567"/>
        <w:rPr>
          <w:rFonts w:ascii="Arial" w:hAnsi="Arial" w:cs="Arial"/>
          <w:sz w:val="16"/>
          <w:szCs w:val="16"/>
        </w:rPr>
      </w:pPr>
    </w:p>
    <w:p w:rsidR="008660D7" w:rsidRPr="00214036" w:rsidRDefault="008660D7" w:rsidP="008660D7">
      <w:pPr>
        <w:pStyle w:val="ListParagraph"/>
        <w:numPr>
          <w:ilvl w:val="1"/>
          <w:numId w:val="3"/>
        </w:numPr>
        <w:tabs>
          <w:tab w:val="left" w:pos="284"/>
          <w:tab w:val="left" w:pos="851"/>
        </w:tabs>
        <w:jc w:val="left"/>
        <w:rPr>
          <w:rFonts w:ascii="Arial" w:hAnsi="Arial" w:cs="Arial"/>
          <w:szCs w:val="24"/>
        </w:rPr>
      </w:pPr>
      <w:r w:rsidRPr="00214036">
        <w:rPr>
          <w:rFonts w:ascii="Arial" w:hAnsi="Arial" w:cs="Arial"/>
          <w:szCs w:val="24"/>
        </w:rPr>
        <w:t>Procurement of materials,</w:t>
      </w:r>
    </w:p>
    <w:p w:rsidR="008660D7" w:rsidRDefault="008660D7" w:rsidP="008660D7">
      <w:pPr>
        <w:pStyle w:val="ListParagraph"/>
        <w:tabs>
          <w:tab w:val="left" w:pos="284"/>
          <w:tab w:val="left" w:pos="720"/>
        </w:tabs>
        <w:ind w:left="1440" w:hanging="360"/>
        <w:jc w:val="left"/>
        <w:rPr>
          <w:rFonts w:ascii="Arial" w:hAnsi="Arial" w:cs="Arial"/>
          <w:szCs w:val="24"/>
        </w:rPr>
      </w:pPr>
      <w:r>
        <w:rPr>
          <w:rFonts w:ascii="Arial" w:hAnsi="Arial" w:cs="Arial"/>
          <w:szCs w:val="24"/>
        </w:rPr>
        <w:t>b.</w:t>
      </w:r>
      <w:r>
        <w:rPr>
          <w:rFonts w:ascii="Arial" w:hAnsi="Arial" w:cs="Arial"/>
          <w:szCs w:val="24"/>
        </w:rPr>
        <w:tab/>
      </w:r>
      <w:r w:rsidRPr="00214036">
        <w:rPr>
          <w:rFonts w:ascii="Arial" w:hAnsi="Arial" w:cs="Arial"/>
          <w:szCs w:val="24"/>
        </w:rPr>
        <w:t>Execution of works</w:t>
      </w:r>
    </w:p>
    <w:p w:rsidR="008660D7" w:rsidRPr="00214036" w:rsidRDefault="008660D7" w:rsidP="008660D7">
      <w:pPr>
        <w:pStyle w:val="ListParagraph"/>
        <w:tabs>
          <w:tab w:val="left" w:pos="284"/>
          <w:tab w:val="left" w:pos="720"/>
        </w:tabs>
        <w:ind w:left="1440" w:hanging="360"/>
        <w:jc w:val="left"/>
        <w:rPr>
          <w:rFonts w:ascii="Arial" w:hAnsi="Arial" w:cs="Arial"/>
          <w:szCs w:val="24"/>
        </w:rPr>
      </w:pPr>
      <w:r>
        <w:rPr>
          <w:rFonts w:ascii="Arial" w:hAnsi="Arial" w:cs="Arial"/>
          <w:szCs w:val="24"/>
        </w:rPr>
        <w:t>c.</w:t>
      </w:r>
      <w:r>
        <w:rPr>
          <w:rFonts w:ascii="Arial" w:hAnsi="Arial" w:cs="Arial"/>
          <w:szCs w:val="24"/>
        </w:rPr>
        <w:tab/>
      </w:r>
      <w:r w:rsidRPr="00214036">
        <w:rPr>
          <w:rFonts w:ascii="Arial" w:hAnsi="Arial" w:cs="Arial"/>
          <w:szCs w:val="24"/>
        </w:rPr>
        <w:t xml:space="preserve">Testing and Commissioning, trial run with performance test </w:t>
      </w:r>
    </w:p>
    <w:p w:rsidR="008660D7" w:rsidRPr="00214036" w:rsidRDefault="008660D7" w:rsidP="008660D7">
      <w:pPr>
        <w:pStyle w:val="ListParagraph"/>
        <w:tabs>
          <w:tab w:val="left" w:pos="284"/>
          <w:tab w:val="left" w:pos="851"/>
        </w:tabs>
        <w:ind w:left="1440" w:hanging="360"/>
        <w:jc w:val="left"/>
        <w:rPr>
          <w:rFonts w:ascii="Arial" w:hAnsi="Arial" w:cs="Arial"/>
          <w:szCs w:val="24"/>
        </w:rPr>
      </w:pPr>
      <w:r>
        <w:rPr>
          <w:rFonts w:ascii="Arial" w:hAnsi="Arial" w:cs="Arial"/>
          <w:szCs w:val="24"/>
        </w:rPr>
        <w:t>d.</w:t>
      </w:r>
      <w:r>
        <w:rPr>
          <w:rFonts w:ascii="Arial" w:hAnsi="Arial" w:cs="Arial"/>
          <w:szCs w:val="24"/>
        </w:rPr>
        <w:tab/>
      </w:r>
      <w:r w:rsidRPr="00214036">
        <w:rPr>
          <w:rFonts w:ascii="Arial" w:hAnsi="Arial" w:cs="Arial"/>
          <w:szCs w:val="24"/>
        </w:rPr>
        <w:t>Obligations during the Defects Notification Period.</w:t>
      </w:r>
    </w:p>
    <w:p w:rsidR="008660D7" w:rsidRPr="00CE255C" w:rsidRDefault="008660D7" w:rsidP="008660D7">
      <w:pPr>
        <w:pStyle w:val="BodyText"/>
        <w:tabs>
          <w:tab w:val="left" w:pos="709"/>
        </w:tabs>
        <w:ind w:left="709" w:hanging="709"/>
        <w:rPr>
          <w:rFonts w:ascii="Arial" w:hAnsi="Arial" w:cs="Arial"/>
          <w:sz w:val="16"/>
          <w:szCs w:val="16"/>
        </w:rPr>
      </w:pPr>
    </w:p>
    <w:p w:rsidR="008660D7" w:rsidRPr="00CE255C" w:rsidRDefault="008660D7" w:rsidP="008660D7">
      <w:pPr>
        <w:pStyle w:val="BodyText"/>
        <w:ind w:left="717" w:hanging="825"/>
        <w:rPr>
          <w:rFonts w:ascii="Arial" w:hAnsi="Arial" w:cs="Arial"/>
        </w:rPr>
      </w:pPr>
      <w:r w:rsidRPr="00CE255C">
        <w:rPr>
          <w:rFonts w:ascii="Arial" w:hAnsi="Arial" w:cs="Arial"/>
        </w:rPr>
        <w:t>5.</w:t>
      </w:r>
      <w:r w:rsidRPr="00CE255C">
        <w:rPr>
          <w:rFonts w:ascii="Arial" w:hAnsi="Arial" w:cs="Arial"/>
        </w:rPr>
        <w:tab/>
        <w:t>Examination and evaluation of submitted Tenders shall include post-qualification of the Tenderers, as a first and interim step in tendering procedure, which suppose simultaneous submission of tendering documents in “</w:t>
      </w:r>
      <w:r w:rsidRPr="008660D7">
        <w:rPr>
          <w:rFonts w:ascii="Arial" w:hAnsi="Arial" w:cs="Arial"/>
        </w:rPr>
        <w:t>two</w:t>
      </w:r>
      <w:r w:rsidRPr="00CE255C">
        <w:rPr>
          <w:rFonts w:ascii="Arial" w:hAnsi="Arial" w:cs="Arial"/>
        </w:rPr>
        <w:t xml:space="preserve"> envelopes”.</w:t>
      </w:r>
    </w:p>
    <w:p w:rsidR="008660D7" w:rsidRPr="00CE255C" w:rsidRDefault="008660D7" w:rsidP="008660D7">
      <w:pPr>
        <w:pStyle w:val="BodyText"/>
        <w:ind w:left="717" w:hanging="825"/>
        <w:rPr>
          <w:rFonts w:ascii="Arial" w:hAnsi="Arial" w:cs="Arial"/>
          <w:sz w:val="16"/>
          <w:szCs w:val="16"/>
        </w:rPr>
      </w:pPr>
    </w:p>
    <w:p w:rsidR="008660D7" w:rsidRPr="00CE255C" w:rsidRDefault="008660D7" w:rsidP="008660D7">
      <w:pPr>
        <w:pStyle w:val="BodyText"/>
        <w:ind w:left="717"/>
        <w:rPr>
          <w:rFonts w:ascii="Arial" w:hAnsi="Arial" w:cs="Arial"/>
        </w:rPr>
      </w:pPr>
      <w:r w:rsidRPr="00CE255C">
        <w:rPr>
          <w:rFonts w:ascii="Arial" w:hAnsi="Arial" w:cs="Arial"/>
        </w:rPr>
        <w:t>The Tenderers shall submit simultaneously in t</w:t>
      </w:r>
      <w:r>
        <w:rPr>
          <w:rFonts w:ascii="Arial" w:hAnsi="Arial" w:cs="Arial"/>
        </w:rPr>
        <w:t>wo</w:t>
      </w:r>
      <w:r w:rsidRPr="00CE255C">
        <w:rPr>
          <w:rFonts w:ascii="Arial" w:hAnsi="Arial" w:cs="Arial"/>
        </w:rPr>
        <w:t xml:space="preserve"> separate sealed inner envelopes with the following documents:</w:t>
      </w:r>
    </w:p>
    <w:p w:rsidR="008660D7" w:rsidRPr="00CE255C" w:rsidRDefault="008660D7" w:rsidP="008660D7">
      <w:pPr>
        <w:pStyle w:val="BodyText"/>
        <w:numPr>
          <w:ilvl w:val="1"/>
          <w:numId w:val="1"/>
        </w:numPr>
        <w:suppressAutoHyphens w:val="0"/>
        <w:ind w:right="0"/>
        <w:rPr>
          <w:rFonts w:ascii="Arial" w:hAnsi="Arial" w:cs="Arial"/>
        </w:rPr>
      </w:pPr>
      <w:r w:rsidRPr="00CE255C">
        <w:rPr>
          <w:rFonts w:ascii="Arial" w:hAnsi="Arial" w:cs="Arial"/>
        </w:rPr>
        <w:t>The Qualification Documents</w:t>
      </w:r>
    </w:p>
    <w:p w:rsidR="008660D7" w:rsidRPr="0091396A" w:rsidRDefault="008660D7" w:rsidP="008660D7">
      <w:pPr>
        <w:pStyle w:val="BodyText"/>
        <w:numPr>
          <w:ilvl w:val="1"/>
          <w:numId w:val="1"/>
        </w:numPr>
        <w:suppressAutoHyphens w:val="0"/>
        <w:ind w:right="0"/>
        <w:rPr>
          <w:rFonts w:ascii="Arial" w:hAnsi="Arial" w:cs="Arial"/>
        </w:rPr>
      </w:pPr>
      <w:r w:rsidRPr="00CE255C">
        <w:rPr>
          <w:rFonts w:ascii="Arial" w:hAnsi="Arial" w:cs="Arial"/>
        </w:rPr>
        <w:t xml:space="preserve">The Technical and </w:t>
      </w:r>
      <w:r w:rsidRPr="0091396A">
        <w:rPr>
          <w:rFonts w:ascii="Arial" w:hAnsi="Arial" w:cs="Arial"/>
        </w:rPr>
        <w:t xml:space="preserve">Commercial </w:t>
      </w:r>
      <w:r>
        <w:rPr>
          <w:rFonts w:ascii="Arial" w:hAnsi="Arial" w:cs="Arial"/>
        </w:rPr>
        <w:t>Tender</w:t>
      </w:r>
    </w:p>
    <w:p w:rsidR="008660D7" w:rsidRPr="00CE255C" w:rsidRDefault="008660D7" w:rsidP="008660D7">
      <w:pPr>
        <w:pStyle w:val="BodyText"/>
        <w:ind w:left="360" w:firstLine="360"/>
        <w:rPr>
          <w:rFonts w:ascii="Arial" w:hAnsi="Arial" w:cs="Arial"/>
        </w:rPr>
      </w:pPr>
      <w:r>
        <w:rPr>
          <w:rFonts w:ascii="Arial" w:hAnsi="Arial" w:cs="Arial"/>
        </w:rPr>
        <w:t>Both</w:t>
      </w:r>
      <w:r w:rsidRPr="00CE255C">
        <w:rPr>
          <w:rFonts w:ascii="Arial" w:hAnsi="Arial" w:cs="Arial"/>
        </w:rPr>
        <w:t xml:space="preserve"> envelopes shall be comprised in one sealed outer envelope.</w:t>
      </w:r>
    </w:p>
    <w:p w:rsidR="00973E15" w:rsidRPr="00476475" w:rsidRDefault="008660D7" w:rsidP="00973E15">
      <w:pPr>
        <w:pStyle w:val="BodyText"/>
        <w:ind w:left="709"/>
        <w:rPr>
          <w:rFonts w:ascii="Arial" w:hAnsi="Arial" w:cs="Arial"/>
        </w:rPr>
      </w:pPr>
      <w:r w:rsidRPr="00CE255C">
        <w:rPr>
          <w:rFonts w:ascii="Arial" w:hAnsi="Arial" w:cs="Arial"/>
        </w:rPr>
        <w:t>Successful fulfillment of the qualification criteria shall be a precondition for further opening and evaluation of his Tender.</w:t>
      </w:r>
      <w:r w:rsidR="00973E15">
        <w:rPr>
          <w:rFonts w:ascii="Arial" w:hAnsi="Arial" w:cs="Arial"/>
          <w:lang w:val="sr-Cyrl-RS"/>
        </w:rPr>
        <w:t xml:space="preserve"> Т</w:t>
      </w:r>
      <w:r w:rsidR="00973E15">
        <w:rPr>
          <w:rFonts w:ascii="Arial" w:hAnsi="Arial" w:cs="Arial"/>
        </w:rPr>
        <w:t xml:space="preserve">he bids shall be submitted in accordance with the Instruction to the tenderers latest up to </w:t>
      </w:r>
      <w:r w:rsidR="00973E15">
        <w:rPr>
          <w:rFonts w:ascii="Arial" w:hAnsi="Arial" w:cs="Arial"/>
          <w:lang w:val="sr-Cyrl-RS"/>
        </w:rPr>
        <w:t>17</w:t>
      </w:r>
      <w:proofErr w:type="spellStart"/>
      <w:r w:rsidR="00973E15" w:rsidRPr="00973E15">
        <w:rPr>
          <w:rFonts w:ascii="Arial" w:hAnsi="Arial" w:cs="Arial"/>
          <w:vertAlign w:val="superscript"/>
        </w:rPr>
        <w:t>th</w:t>
      </w:r>
      <w:proofErr w:type="spellEnd"/>
      <w:r w:rsidR="00973E15">
        <w:rPr>
          <w:rFonts w:ascii="Arial" w:hAnsi="Arial" w:cs="Arial"/>
        </w:rPr>
        <w:t xml:space="preserve"> April 2015 at 1</w:t>
      </w:r>
      <w:r w:rsidR="00973E15">
        <w:rPr>
          <w:rFonts w:ascii="Arial" w:hAnsi="Arial" w:cs="Arial"/>
          <w:lang w:val="sr-Cyrl-RS"/>
        </w:rPr>
        <w:t>2</w:t>
      </w:r>
      <w:r w:rsidR="00973E15">
        <w:rPr>
          <w:rFonts w:ascii="Arial" w:hAnsi="Arial" w:cs="Arial"/>
        </w:rPr>
        <w:t>,00 o’clock local time.</w:t>
      </w:r>
    </w:p>
    <w:p w:rsidR="008660D7" w:rsidRPr="00CE255C" w:rsidRDefault="008660D7" w:rsidP="008660D7">
      <w:pPr>
        <w:pStyle w:val="BodyText"/>
        <w:ind w:left="709"/>
        <w:rPr>
          <w:rFonts w:ascii="Arial" w:hAnsi="Arial" w:cs="Arial"/>
          <w:sz w:val="16"/>
          <w:szCs w:val="16"/>
        </w:rPr>
      </w:pP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6.</w:t>
      </w:r>
      <w:r w:rsidRPr="00CE255C">
        <w:rPr>
          <w:rFonts w:ascii="Arial" w:hAnsi="Arial" w:cs="Arial"/>
        </w:rPr>
        <w:tab/>
        <w:t xml:space="preserve">During tendering procedure, negotiation with successful </w:t>
      </w:r>
      <w:proofErr w:type="gramStart"/>
      <w:r w:rsidRPr="00CE255C">
        <w:rPr>
          <w:rFonts w:ascii="Arial" w:hAnsi="Arial" w:cs="Arial"/>
        </w:rPr>
        <w:t>Tenderer</w:t>
      </w:r>
      <w:proofErr w:type="gramEnd"/>
      <w:r w:rsidRPr="00CE255C">
        <w:rPr>
          <w:rFonts w:ascii="Arial" w:hAnsi="Arial" w:cs="Arial"/>
        </w:rPr>
        <w:t>, award of the Contract, execution and commissioning of the Works the Employer will be supported by an independent qualified Consultant.</w:t>
      </w:r>
    </w:p>
    <w:p w:rsidR="008660D7" w:rsidRPr="00CE255C" w:rsidRDefault="008660D7" w:rsidP="008660D7">
      <w:pPr>
        <w:pStyle w:val="BodyText"/>
        <w:tabs>
          <w:tab w:val="left" w:pos="709"/>
          <w:tab w:val="left" w:pos="1134"/>
        </w:tabs>
        <w:rPr>
          <w:rFonts w:ascii="Arial" w:hAnsi="Arial" w:cs="Arial"/>
          <w:sz w:val="16"/>
          <w:szCs w:val="16"/>
        </w:rPr>
      </w:pPr>
    </w:p>
    <w:p w:rsidR="008660D7" w:rsidRPr="00CE255C" w:rsidRDefault="008660D7" w:rsidP="008660D7">
      <w:pPr>
        <w:pStyle w:val="BodyText"/>
        <w:tabs>
          <w:tab w:val="left" w:pos="709"/>
          <w:tab w:val="left" w:pos="1134"/>
        </w:tabs>
        <w:ind w:left="709" w:hanging="709"/>
        <w:rPr>
          <w:rFonts w:ascii="Arial" w:hAnsi="Arial" w:cs="Arial"/>
        </w:rPr>
      </w:pPr>
      <w:r w:rsidRPr="00CE255C">
        <w:rPr>
          <w:rFonts w:ascii="Arial" w:hAnsi="Arial" w:cs="Arial"/>
        </w:rPr>
        <w:t>7.</w:t>
      </w:r>
      <w:r w:rsidRPr="00CE255C">
        <w:rPr>
          <w:rFonts w:ascii="Arial" w:hAnsi="Arial" w:cs="Arial"/>
        </w:rPr>
        <w:tab/>
      </w:r>
      <w:r>
        <w:rPr>
          <w:rFonts w:ascii="Arial" w:hAnsi="Arial" w:cs="Arial"/>
        </w:rPr>
        <w:t xml:space="preserve">The </w:t>
      </w:r>
      <w:proofErr w:type="gramStart"/>
      <w:r>
        <w:rPr>
          <w:rFonts w:ascii="Arial" w:hAnsi="Arial" w:cs="Arial"/>
        </w:rPr>
        <w:t xml:space="preserve">unit </w:t>
      </w:r>
      <w:r w:rsidRPr="00CE255C">
        <w:rPr>
          <w:rFonts w:ascii="Arial" w:hAnsi="Arial" w:cs="Arial"/>
        </w:rPr>
        <w:t xml:space="preserve"> </w:t>
      </w:r>
      <w:r>
        <w:rPr>
          <w:rFonts w:ascii="Arial" w:hAnsi="Arial" w:cs="Arial"/>
        </w:rPr>
        <w:t>p</w:t>
      </w:r>
      <w:r w:rsidRPr="00CE255C">
        <w:rPr>
          <w:rFonts w:ascii="Arial" w:hAnsi="Arial" w:cs="Arial"/>
        </w:rPr>
        <w:t>rice</w:t>
      </w:r>
      <w:r>
        <w:rPr>
          <w:rFonts w:ascii="Arial" w:hAnsi="Arial" w:cs="Arial"/>
        </w:rPr>
        <w:t>s</w:t>
      </w:r>
      <w:proofErr w:type="gramEnd"/>
      <w:r w:rsidRPr="00CE255C">
        <w:rPr>
          <w:rFonts w:ascii="Arial" w:hAnsi="Arial" w:cs="Arial"/>
        </w:rPr>
        <w:t xml:space="preserve"> for the whol</w:t>
      </w:r>
      <w:r>
        <w:rPr>
          <w:rFonts w:ascii="Arial" w:hAnsi="Arial" w:cs="Arial"/>
        </w:rPr>
        <w:t>e of the Works shall be a fixed</w:t>
      </w:r>
      <w:r w:rsidRPr="00CE255C">
        <w:rPr>
          <w:rFonts w:ascii="Arial" w:hAnsi="Arial" w:cs="Arial"/>
        </w:rPr>
        <w:t>.</w:t>
      </w:r>
    </w:p>
    <w:p w:rsidR="008660D7" w:rsidRPr="00CE255C" w:rsidRDefault="008660D7" w:rsidP="008660D7">
      <w:pPr>
        <w:pStyle w:val="BodyText"/>
        <w:tabs>
          <w:tab w:val="left" w:pos="709"/>
          <w:tab w:val="left" w:pos="1134"/>
        </w:tabs>
        <w:ind w:left="709" w:hanging="709"/>
        <w:rPr>
          <w:rFonts w:ascii="Arial" w:hAnsi="Arial" w:cs="Arial"/>
          <w:sz w:val="16"/>
          <w:szCs w:val="16"/>
        </w:rPr>
      </w:pPr>
    </w:p>
    <w:p w:rsidR="008660D7" w:rsidRPr="00CE255C" w:rsidRDefault="008660D7" w:rsidP="008660D7">
      <w:pPr>
        <w:pStyle w:val="BodyText"/>
        <w:tabs>
          <w:tab w:val="left" w:pos="709"/>
          <w:tab w:val="left" w:pos="1134"/>
        </w:tabs>
        <w:ind w:left="709" w:hanging="709"/>
        <w:rPr>
          <w:rFonts w:ascii="Arial" w:hAnsi="Arial" w:cs="Arial"/>
        </w:rPr>
      </w:pPr>
      <w:r w:rsidRPr="00CE255C">
        <w:rPr>
          <w:rFonts w:ascii="Arial" w:hAnsi="Arial" w:cs="Arial"/>
        </w:rPr>
        <w:lastRenderedPageBreak/>
        <w:t>8.</w:t>
      </w:r>
      <w:r w:rsidRPr="00CE255C">
        <w:rPr>
          <w:rFonts w:ascii="Arial" w:hAnsi="Arial" w:cs="Arial"/>
        </w:rPr>
        <w:tab/>
        <w:t>Instructions to Tenderers, shall be governing for preparation and submission of the Tenders by the Tenderers, as well as for examination and evaluation of the Tenders by the Employer.</w:t>
      </w:r>
    </w:p>
    <w:p w:rsidR="008660D7" w:rsidRPr="00CE255C" w:rsidRDefault="008660D7" w:rsidP="008660D7">
      <w:pPr>
        <w:pStyle w:val="BodyText"/>
        <w:tabs>
          <w:tab w:val="left" w:pos="709"/>
          <w:tab w:val="left" w:pos="1134"/>
        </w:tabs>
        <w:ind w:left="709" w:hanging="709"/>
        <w:rPr>
          <w:rFonts w:ascii="Arial" w:hAnsi="Arial" w:cs="Arial"/>
          <w:sz w:val="16"/>
          <w:szCs w:val="16"/>
        </w:rPr>
      </w:pPr>
    </w:p>
    <w:p w:rsidR="008660D7" w:rsidRDefault="008660D7" w:rsidP="008660D7">
      <w:pPr>
        <w:pStyle w:val="BodyText"/>
        <w:tabs>
          <w:tab w:val="left" w:pos="709"/>
          <w:tab w:val="left" w:pos="1134"/>
        </w:tabs>
        <w:ind w:left="709" w:hanging="709"/>
        <w:rPr>
          <w:rFonts w:ascii="Arial" w:hAnsi="Arial" w:cs="Arial"/>
        </w:rPr>
      </w:pPr>
      <w:r w:rsidRPr="00CE255C">
        <w:rPr>
          <w:rFonts w:ascii="Arial" w:hAnsi="Arial" w:cs="Arial"/>
        </w:rPr>
        <w:t>9.</w:t>
      </w:r>
      <w:r w:rsidRPr="00CE255C">
        <w:rPr>
          <w:rFonts w:ascii="Arial" w:hAnsi="Arial" w:cs="Arial"/>
        </w:rPr>
        <w:tab/>
        <w:t>Execution of the Project C and the Contract Documents itself shall be framed by standard contract conditions:</w:t>
      </w:r>
    </w:p>
    <w:p w:rsidR="00DC468A" w:rsidRPr="00CE255C" w:rsidRDefault="00DC468A" w:rsidP="008660D7">
      <w:pPr>
        <w:pStyle w:val="BodyText"/>
        <w:tabs>
          <w:tab w:val="left" w:pos="709"/>
          <w:tab w:val="left" w:pos="1134"/>
        </w:tabs>
        <w:ind w:left="709" w:hanging="709"/>
        <w:rPr>
          <w:rFonts w:ascii="Arial" w:hAnsi="Arial" w:cs="Arial"/>
        </w:rPr>
      </w:pPr>
      <w:r>
        <w:rPr>
          <w:rFonts w:ascii="Arial" w:hAnsi="Arial" w:cs="Arial"/>
        </w:rPr>
        <w:tab/>
      </w:r>
      <w:r w:rsidRPr="00DC468A">
        <w:rPr>
          <w:rFonts w:ascii="Arial" w:hAnsi="Arial" w:cs="Arial"/>
        </w:rPr>
        <w:t xml:space="preserve">Conditions of Contract for Construction for building and engineering works designed by the </w:t>
      </w:r>
      <w:proofErr w:type="spellStart"/>
      <w:r w:rsidRPr="00DC468A">
        <w:rPr>
          <w:rFonts w:ascii="Arial" w:hAnsi="Arial" w:cs="Arial"/>
        </w:rPr>
        <w:t>Employeer</w:t>
      </w:r>
      <w:proofErr w:type="spellEnd"/>
      <w:r w:rsidRPr="00DC468A">
        <w:rPr>
          <w:rFonts w:ascii="Arial" w:hAnsi="Arial" w:cs="Arial"/>
        </w:rPr>
        <w:t xml:space="preserve"> as published by International Federation of Consulting Engineers (FIDIC) 1</w:t>
      </w:r>
      <w:r w:rsidRPr="00DC468A">
        <w:rPr>
          <w:rFonts w:ascii="Arial" w:hAnsi="Arial" w:cs="Arial"/>
          <w:vertAlign w:val="superscript"/>
        </w:rPr>
        <w:t>st</w:t>
      </w:r>
      <w:r>
        <w:rPr>
          <w:rFonts w:ascii="Arial" w:hAnsi="Arial" w:cs="Arial"/>
        </w:rPr>
        <w:t xml:space="preserve"> Edition </w:t>
      </w:r>
      <w:r w:rsidRPr="00DC468A">
        <w:rPr>
          <w:rFonts w:ascii="Arial" w:hAnsi="Arial" w:cs="Arial"/>
        </w:rPr>
        <w:t>1999,  ISBN 2 - 88432 - 022 - 9</w:t>
      </w:r>
    </w:p>
    <w:p w:rsidR="008660D7" w:rsidRPr="00CE255C" w:rsidRDefault="008660D7" w:rsidP="008660D7">
      <w:pPr>
        <w:pStyle w:val="BodyText"/>
        <w:tabs>
          <w:tab w:val="left" w:pos="709"/>
        </w:tabs>
        <w:ind w:left="709" w:hanging="709"/>
        <w:rPr>
          <w:rFonts w:ascii="Arial" w:hAnsi="Arial" w:cs="Arial"/>
          <w:sz w:val="16"/>
          <w:szCs w:val="16"/>
        </w:rPr>
      </w:pP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10.</w:t>
      </w:r>
      <w:r w:rsidRPr="00CE255C">
        <w:rPr>
          <w:rFonts w:ascii="Arial" w:hAnsi="Arial" w:cs="Arial"/>
        </w:rPr>
        <w:tab/>
        <w:t xml:space="preserve">Interested Tenderers may obtain the Tender Documents prepared by the Employer (hard copy + CD) at the address given below, on each working day </w:t>
      </w:r>
      <w:proofErr w:type="gramStart"/>
      <w:r w:rsidRPr="00CE255C">
        <w:rPr>
          <w:rFonts w:ascii="Arial" w:hAnsi="Arial" w:cs="Arial"/>
        </w:rPr>
        <w:t xml:space="preserve">from 8.00 </w:t>
      </w:r>
      <w:proofErr w:type="spellStart"/>
      <w:r w:rsidRPr="00CE255C">
        <w:rPr>
          <w:rFonts w:ascii="Arial" w:hAnsi="Arial" w:cs="Arial"/>
        </w:rPr>
        <w:t>do</w:t>
      </w:r>
      <w:proofErr w:type="spellEnd"/>
      <w:r w:rsidRPr="00CE255C">
        <w:rPr>
          <w:rFonts w:ascii="Arial" w:hAnsi="Arial" w:cs="Arial"/>
        </w:rPr>
        <w:t xml:space="preserve"> 14.00 local time</w:t>
      </w:r>
      <w:proofErr w:type="gramEnd"/>
      <w:r w:rsidRPr="00CE255C">
        <w:rPr>
          <w:rFonts w:ascii="Arial" w:hAnsi="Arial" w:cs="Arial"/>
        </w:rPr>
        <w:t xml:space="preserve"> and upon submission of the proof of p</w:t>
      </w:r>
      <w:r>
        <w:rPr>
          <w:rFonts w:ascii="Arial" w:hAnsi="Arial" w:cs="Arial"/>
        </w:rPr>
        <w:t>ayment, up to closing date 20</w:t>
      </w:r>
      <w:r w:rsidRPr="008660D7">
        <w:rPr>
          <w:rFonts w:ascii="Arial" w:hAnsi="Arial" w:cs="Arial"/>
          <w:vertAlign w:val="superscript"/>
        </w:rPr>
        <w:t>th</w:t>
      </w:r>
      <w:r>
        <w:rPr>
          <w:rFonts w:ascii="Arial" w:hAnsi="Arial" w:cs="Arial"/>
        </w:rPr>
        <w:t xml:space="preserve"> March 2015.</w:t>
      </w:r>
    </w:p>
    <w:p w:rsidR="008660D7" w:rsidRPr="00CE255C" w:rsidRDefault="008660D7" w:rsidP="008660D7">
      <w:pPr>
        <w:pStyle w:val="BodyText"/>
        <w:tabs>
          <w:tab w:val="left" w:pos="709"/>
        </w:tabs>
        <w:ind w:left="709" w:hanging="709"/>
        <w:rPr>
          <w:rFonts w:ascii="Arial" w:hAnsi="Arial" w:cs="Arial"/>
          <w:sz w:val="16"/>
          <w:szCs w:val="16"/>
        </w:rPr>
      </w:pP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 xml:space="preserve">Foreign Tenderers shall pay a non-refundable fee of EURO </w:t>
      </w:r>
      <w:r>
        <w:rPr>
          <w:rFonts w:ascii="Arial" w:hAnsi="Arial" w:cs="Arial"/>
        </w:rPr>
        <w:t>5</w:t>
      </w:r>
      <w:r w:rsidRPr="00CE255C">
        <w:rPr>
          <w:rFonts w:ascii="Arial" w:hAnsi="Arial" w:cs="Arial"/>
        </w:rPr>
        <w:t>00 to Account of</w:t>
      </w:r>
      <w:r w:rsidRPr="00CE255C">
        <w:rPr>
          <w:rFonts w:ascii="Arial" w:hAnsi="Arial" w:cs="Arial"/>
        </w:rPr>
        <w:br/>
      </w:r>
      <w:proofErr w:type="spellStart"/>
      <w:r w:rsidRPr="00CE255C">
        <w:rPr>
          <w:rFonts w:ascii="Arial" w:hAnsi="Arial" w:cs="Arial"/>
        </w:rPr>
        <w:t>JPElektroprivredaSrbije</w:t>
      </w:r>
      <w:proofErr w:type="spellEnd"/>
      <w:r w:rsidRPr="00CE255C">
        <w:rPr>
          <w:rFonts w:ascii="Arial" w:hAnsi="Arial" w:cs="Arial"/>
        </w:rPr>
        <w:t xml:space="preserve">, 11000Belgrade, </w:t>
      </w:r>
      <w:proofErr w:type="spellStart"/>
      <w:r w:rsidRPr="00CE255C">
        <w:rPr>
          <w:rFonts w:ascii="Arial" w:hAnsi="Arial" w:cs="Arial"/>
        </w:rPr>
        <w:t>CariceMilice</w:t>
      </w:r>
      <w:proofErr w:type="spellEnd"/>
      <w:r w:rsidRPr="00CE255C">
        <w:rPr>
          <w:rFonts w:ascii="Arial" w:hAnsi="Arial" w:cs="Arial"/>
        </w:rPr>
        <w:t xml:space="preserve"> 2,</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Account with institution   BANCA INTESA AD, BEOGRAD, MILENTIJA POPOVIĆA 78, REPUBLIKA SRBIJA,</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SWIFT</w:t>
      </w:r>
      <w:proofErr w:type="gramStart"/>
      <w:r w:rsidRPr="00CE255C">
        <w:rPr>
          <w:rFonts w:ascii="Arial" w:hAnsi="Arial" w:cs="Arial"/>
        </w:rPr>
        <w:t>:DBDBRSBG</w:t>
      </w:r>
      <w:proofErr w:type="gramEnd"/>
      <w:r w:rsidRPr="00CE255C">
        <w:rPr>
          <w:rFonts w:ascii="Arial" w:hAnsi="Arial" w:cs="Arial"/>
        </w:rPr>
        <w:t xml:space="preserve"> </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Beneficiary: ELEKTROPRIVREDA SRBIJE JP BEOGRAD</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IBAN: RS35160005030000152939</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Intermediary: BCITITMM</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INTESA SANPAOLO SPA</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MILANO ITALY</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 xml:space="preserve"> </w:t>
      </w:r>
      <w:proofErr w:type="gramStart"/>
      <w:r w:rsidRPr="00CE255C">
        <w:rPr>
          <w:rFonts w:ascii="Arial" w:hAnsi="Arial" w:cs="Arial"/>
        </w:rPr>
        <w:t>stating</w:t>
      </w:r>
      <w:proofErr w:type="gramEnd"/>
      <w:r w:rsidRPr="00CE255C">
        <w:rPr>
          <w:rFonts w:ascii="Arial" w:hAnsi="Arial" w:cs="Arial"/>
        </w:rPr>
        <w:t>: Payment for purchase of Tender Documents – ENERGY EF</w:t>
      </w:r>
      <w:r>
        <w:rPr>
          <w:rFonts w:ascii="Arial" w:hAnsi="Arial" w:cs="Arial"/>
        </w:rPr>
        <w:t>F</w:t>
      </w:r>
      <w:r w:rsidRPr="00CE255C">
        <w:rPr>
          <w:rFonts w:ascii="Arial" w:hAnsi="Arial" w:cs="Arial"/>
        </w:rPr>
        <w:t>ICIENCY BY ECOLOGICAL COAL QUALITY MANAGEME</w:t>
      </w:r>
      <w:r>
        <w:rPr>
          <w:rFonts w:ascii="Arial" w:hAnsi="Arial" w:cs="Arial"/>
        </w:rPr>
        <w:t>N</w:t>
      </w:r>
      <w:r w:rsidRPr="00CE255C">
        <w:rPr>
          <w:rFonts w:ascii="Arial" w:hAnsi="Arial" w:cs="Arial"/>
        </w:rPr>
        <w:t>T</w:t>
      </w:r>
      <w:r w:rsidR="003203C1">
        <w:rPr>
          <w:rFonts w:ascii="Arial" w:hAnsi="Arial" w:cs="Arial"/>
        </w:rPr>
        <w:t>-</w:t>
      </w:r>
      <w:r w:rsidR="003203C1" w:rsidRPr="003203C1">
        <w:rPr>
          <w:rFonts w:ascii="Arial" w:hAnsi="Arial" w:cs="Arial"/>
        </w:rPr>
        <w:t xml:space="preserve"> </w:t>
      </w:r>
      <w:r w:rsidR="003203C1" w:rsidRPr="006A4F65">
        <w:rPr>
          <w:rFonts w:ascii="Arial" w:hAnsi="Arial" w:cs="Arial"/>
        </w:rPr>
        <w:t>PACKAGE C2</w:t>
      </w:r>
      <w:r w:rsidRPr="00CE255C">
        <w:rPr>
          <w:rFonts w:ascii="Arial" w:hAnsi="Arial" w:cs="Arial"/>
        </w:rPr>
        <w:t>.</w:t>
      </w:r>
    </w:p>
    <w:p w:rsidR="008660D7" w:rsidRPr="00CE255C" w:rsidRDefault="008660D7" w:rsidP="008660D7">
      <w:pPr>
        <w:pStyle w:val="BodyText"/>
        <w:tabs>
          <w:tab w:val="left" w:pos="709"/>
        </w:tabs>
        <w:ind w:left="709" w:hanging="709"/>
        <w:rPr>
          <w:rFonts w:ascii="Arial" w:hAnsi="Arial" w:cs="Arial"/>
          <w:sz w:val="16"/>
          <w:szCs w:val="16"/>
        </w:rPr>
      </w:pP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t xml:space="preserve">Local Tenderers shall pay a non-refundable fee of Serbian Dinars </w:t>
      </w:r>
      <w:r>
        <w:rPr>
          <w:rFonts w:ascii="Arial" w:hAnsi="Arial" w:cs="Arial"/>
        </w:rPr>
        <w:t>60</w:t>
      </w:r>
      <w:r w:rsidRPr="00CE255C">
        <w:rPr>
          <w:rFonts w:ascii="Arial" w:hAnsi="Arial" w:cs="Arial"/>
        </w:rPr>
        <w:t xml:space="preserve">.000 Din. </w:t>
      </w:r>
      <w:proofErr w:type="gramStart"/>
      <w:r w:rsidRPr="00CE255C">
        <w:rPr>
          <w:rFonts w:ascii="Arial" w:hAnsi="Arial" w:cs="Arial"/>
        </w:rPr>
        <w:t>to</w:t>
      </w:r>
      <w:proofErr w:type="gramEnd"/>
      <w:r w:rsidRPr="00CE255C">
        <w:rPr>
          <w:rFonts w:ascii="Arial" w:hAnsi="Arial" w:cs="Arial"/>
        </w:rPr>
        <w:t xml:space="preserve"> the account of </w:t>
      </w:r>
      <w:proofErr w:type="spellStart"/>
      <w:r w:rsidRPr="00CE255C">
        <w:rPr>
          <w:rFonts w:ascii="Arial" w:hAnsi="Arial" w:cs="Arial"/>
        </w:rPr>
        <w:t>JPElektroprivredaSrbije</w:t>
      </w:r>
      <w:proofErr w:type="spellEnd"/>
      <w:r w:rsidRPr="00CE255C">
        <w:rPr>
          <w:rFonts w:ascii="Arial" w:hAnsi="Arial" w:cs="Arial"/>
        </w:rPr>
        <w:t xml:space="preserve">, 11000 Beograd, </w:t>
      </w:r>
      <w:proofErr w:type="spellStart"/>
      <w:r w:rsidRPr="00CE255C">
        <w:rPr>
          <w:rFonts w:ascii="Arial" w:hAnsi="Arial" w:cs="Arial"/>
        </w:rPr>
        <w:t>CariceMilice</w:t>
      </w:r>
      <w:proofErr w:type="spellEnd"/>
      <w:r w:rsidRPr="00CE255C">
        <w:rPr>
          <w:rFonts w:ascii="Arial" w:hAnsi="Arial" w:cs="Arial"/>
        </w:rPr>
        <w:t xml:space="preserve"> 2, Account No. 160-700-13 with BANKA INTES AD, BEOGRAD, stating: Payment for purchase of Tender Documents – ENERGY EFICIENCY BY ECOLOGICAL COAL QUALITY MANAGEMET</w:t>
      </w:r>
      <w:r w:rsidR="003203C1">
        <w:rPr>
          <w:rFonts w:ascii="Arial" w:hAnsi="Arial" w:cs="Arial"/>
        </w:rPr>
        <w:t>-</w:t>
      </w:r>
      <w:r w:rsidR="003203C1" w:rsidRPr="003203C1">
        <w:rPr>
          <w:rFonts w:ascii="Arial" w:hAnsi="Arial" w:cs="Arial"/>
        </w:rPr>
        <w:t xml:space="preserve"> </w:t>
      </w:r>
      <w:r w:rsidR="003203C1" w:rsidRPr="006A4F65">
        <w:rPr>
          <w:rFonts w:ascii="Arial" w:hAnsi="Arial" w:cs="Arial"/>
        </w:rPr>
        <w:t>PACKAGE C2</w:t>
      </w:r>
      <w:r w:rsidRPr="00CE255C">
        <w:rPr>
          <w:rFonts w:ascii="Arial" w:hAnsi="Arial" w:cs="Arial"/>
        </w:rPr>
        <w:t>.</w:t>
      </w:r>
    </w:p>
    <w:p w:rsidR="008660D7" w:rsidRPr="00CE255C" w:rsidRDefault="008660D7" w:rsidP="008660D7">
      <w:pPr>
        <w:pStyle w:val="BodyText"/>
        <w:tabs>
          <w:tab w:val="left" w:pos="709"/>
        </w:tabs>
        <w:ind w:left="709" w:hanging="709"/>
        <w:rPr>
          <w:rFonts w:ascii="Arial" w:hAnsi="Arial" w:cs="Arial"/>
          <w:b/>
          <w:szCs w:val="24"/>
        </w:rPr>
      </w:pPr>
      <w:r w:rsidRPr="00CE255C">
        <w:rPr>
          <w:rFonts w:ascii="Arial" w:hAnsi="Arial" w:cs="Arial"/>
          <w:sz w:val="16"/>
          <w:szCs w:val="16"/>
        </w:rPr>
        <w:tab/>
      </w:r>
      <w:r w:rsidRPr="00CE255C">
        <w:rPr>
          <w:rFonts w:ascii="Arial" w:hAnsi="Arial" w:cs="Arial"/>
          <w:b/>
          <w:szCs w:val="24"/>
        </w:rPr>
        <w:t>‘’All bank transfer charges are for Tenderers account.’’</w:t>
      </w:r>
    </w:p>
    <w:p w:rsidR="008660D7" w:rsidRPr="00CE255C" w:rsidRDefault="008660D7" w:rsidP="008660D7">
      <w:pPr>
        <w:pStyle w:val="BodyText"/>
        <w:tabs>
          <w:tab w:val="left" w:pos="709"/>
        </w:tabs>
        <w:ind w:left="709" w:hanging="709"/>
        <w:rPr>
          <w:rFonts w:ascii="Arial" w:hAnsi="Arial" w:cs="Arial"/>
        </w:rPr>
      </w:pPr>
      <w:r w:rsidRPr="00CE255C">
        <w:rPr>
          <w:rFonts w:ascii="Arial" w:hAnsi="Arial" w:cs="Arial"/>
        </w:rPr>
        <w:tab/>
      </w:r>
    </w:p>
    <w:p w:rsidR="008660D7" w:rsidRDefault="007A42E1" w:rsidP="008660D7">
      <w:pPr>
        <w:pStyle w:val="BodyText"/>
        <w:tabs>
          <w:tab w:val="left" w:pos="709"/>
        </w:tabs>
        <w:ind w:left="709" w:hanging="709"/>
        <w:rPr>
          <w:rFonts w:ascii="Arial" w:hAnsi="Arial" w:cs="Arial"/>
        </w:rPr>
      </w:pPr>
      <w:r>
        <w:rPr>
          <w:rFonts w:ascii="Arial" w:hAnsi="Arial" w:cs="Arial"/>
        </w:rPr>
        <w:t xml:space="preserve">11. </w:t>
      </w:r>
      <w:r w:rsidR="008660D7" w:rsidRPr="00CE255C">
        <w:rPr>
          <w:rFonts w:ascii="Arial" w:hAnsi="Arial" w:cs="Arial"/>
        </w:rPr>
        <w:t>Prospective Tenderers may obtain further information from, and inspect and acquire the tender documents at the following office:</w:t>
      </w:r>
    </w:p>
    <w:p w:rsidR="003203C1" w:rsidRPr="004F2074" w:rsidRDefault="003203C1" w:rsidP="003203C1">
      <w:pPr>
        <w:pStyle w:val="BodyText"/>
        <w:tabs>
          <w:tab w:val="left" w:pos="709"/>
          <w:tab w:val="left" w:pos="5670"/>
        </w:tabs>
        <w:ind w:left="709" w:hanging="709"/>
        <w:jc w:val="center"/>
        <w:rPr>
          <w:rFonts w:ascii="Arial" w:hAnsi="Arial" w:cs="Arial"/>
          <w:lang w:val="de-DE"/>
        </w:rPr>
      </w:pPr>
      <w:r w:rsidRPr="004F2074">
        <w:rPr>
          <w:rFonts w:ascii="Arial" w:hAnsi="Arial" w:cs="Arial"/>
          <w:lang w:val="de-DE"/>
        </w:rPr>
        <w:t>JP ELEKTROPRIVREDA SRBIJE (EPS)</w:t>
      </w:r>
    </w:p>
    <w:p w:rsidR="003203C1" w:rsidRPr="004F2074" w:rsidRDefault="003203C1" w:rsidP="003203C1">
      <w:pPr>
        <w:pStyle w:val="BodyText"/>
        <w:tabs>
          <w:tab w:val="left" w:pos="709"/>
          <w:tab w:val="left" w:pos="5670"/>
        </w:tabs>
        <w:ind w:left="709" w:hanging="709"/>
        <w:jc w:val="center"/>
        <w:rPr>
          <w:rFonts w:ascii="Arial" w:hAnsi="Arial" w:cs="Arial"/>
          <w:lang w:val="de-DE"/>
        </w:rPr>
      </w:pPr>
      <w:r w:rsidRPr="004F2074">
        <w:rPr>
          <w:rFonts w:ascii="Arial" w:hAnsi="Arial" w:cs="Arial"/>
          <w:lang w:val="de-DE"/>
        </w:rPr>
        <w:t xml:space="preserve">Jelene Ćetković 2 </w:t>
      </w:r>
    </w:p>
    <w:p w:rsidR="003203C1" w:rsidRPr="004F2074" w:rsidRDefault="003203C1" w:rsidP="003203C1">
      <w:pPr>
        <w:pStyle w:val="BodyText"/>
        <w:tabs>
          <w:tab w:val="left" w:pos="709"/>
          <w:tab w:val="left" w:pos="5670"/>
        </w:tabs>
        <w:ind w:left="709" w:hanging="709"/>
        <w:jc w:val="center"/>
        <w:rPr>
          <w:rFonts w:ascii="Arial" w:hAnsi="Arial" w:cs="Arial"/>
          <w:lang w:val="de-DE"/>
        </w:rPr>
      </w:pPr>
      <w:r w:rsidRPr="004F2074">
        <w:rPr>
          <w:rFonts w:ascii="Arial" w:hAnsi="Arial" w:cs="Arial"/>
          <w:lang w:val="de-DE"/>
        </w:rPr>
        <w:t>11000 Beograd</w:t>
      </w:r>
    </w:p>
    <w:p w:rsidR="003203C1" w:rsidRPr="004F2074" w:rsidRDefault="003203C1" w:rsidP="003203C1">
      <w:pPr>
        <w:pStyle w:val="BodyText"/>
        <w:tabs>
          <w:tab w:val="left" w:pos="709"/>
          <w:tab w:val="left" w:pos="5670"/>
        </w:tabs>
        <w:ind w:left="709" w:hanging="709"/>
        <w:jc w:val="center"/>
        <w:rPr>
          <w:rFonts w:ascii="Arial" w:hAnsi="Arial" w:cs="Arial"/>
          <w:lang w:val="de-DE"/>
        </w:rPr>
      </w:pPr>
      <w:r w:rsidRPr="004F2074">
        <w:rPr>
          <w:rFonts w:ascii="Arial" w:hAnsi="Arial" w:cs="Arial"/>
          <w:lang w:val="de-DE"/>
        </w:rPr>
        <w:t>Serbia</w:t>
      </w:r>
    </w:p>
    <w:p w:rsidR="003203C1" w:rsidRPr="004F2074" w:rsidRDefault="003203C1" w:rsidP="003203C1">
      <w:pPr>
        <w:pStyle w:val="BodyText"/>
        <w:tabs>
          <w:tab w:val="left" w:pos="709"/>
          <w:tab w:val="left" w:pos="5670"/>
        </w:tabs>
        <w:ind w:left="709" w:hanging="709"/>
        <w:jc w:val="center"/>
        <w:rPr>
          <w:rFonts w:ascii="Arial" w:hAnsi="Arial" w:cs="Arial"/>
          <w:lang w:val="de-DE"/>
        </w:rPr>
      </w:pPr>
      <w:r w:rsidRPr="004F2074">
        <w:rPr>
          <w:rFonts w:ascii="Arial" w:hAnsi="Arial" w:cs="Arial"/>
          <w:lang w:val="de-DE"/>
        </w:rPr>
        <w:t>Attn: MSc.Eng.Radan Radović</w:t>
      </w:r>
    </w:p>
    <w:p w:rsidR="003203C1" w:rsidRPr="00FB3249" w:rsidRDefault="003203C1" w:rsidP="003203C1">
      <w:pPr>
        <w:pStyle w:val="BodyText"/>
        <w:tabs>
          <w:tab w:val="left" w:pos="709"/>
          <w:tab w:val="left" w:pos="5670"/>
        </w:tabs>
        <w:ind w:left="709" w:hanging="709"/>
        <w:jc w:val="center"/>
        <w:rPr>
          <w:rFonts w:ascii="Arial" w:hAnsi="Arial" w:cs="Arial"/>
          <w:lang w:val="sr-Cyrl-RS"/>
        </w:rPr>
      </w:pPr>
      <w:r w:rsidRPr="004F2074">
        <w:rPr>
          <w:rFonts w:ascii="Arial" w:hAnsi="Arial" w:cs="Arial"/>
          <w:lang w:val="de-DE"/>
        </w:rPr>
        <w:t xml:space="preserve">Tel. +381 11 3952 </w:t>
      </w:r>
      <w:r w:rsidR="00FB3249">
        <w:rPr>
          <w:rFonts w:ascii="Arial" w:hAnsi="Arial" w:cs="Arial"/>
          <w:lang w:val="sr-Cyrl-RS"/>
        </w:rPr>
        <w:t>356</w:t>
      </w:r>
    </w:p>
    <w:p w:rsidR="003203C1" w:rsidRPr="004F2074" w:rsidRDefault="003203C1" w:rsidP="003203C1">
      <w:pPr>
        <w:pStyle w:val="BodyText"/>
        <w:tabs>
          <w:tab w:val="left" w:pos="709"/>
          <w:tab w:val="left" w:pos="5670"/>
        </w:tabs>
        <w:ind w:left="709" w:hanging="709"/>
        <w:jc w:val="center"/>
        <w:rPr>
          <w:rFonts w:ascii="Arial" w:hAnsi="Arial" w:cs="Arial"/>
          <w:lang w:val="de-DE"/>
        </w:rPr>
      </w:pPr>
      <w:r w:rsidRPr="004F2074">
        <w:rPr>
          <w:rFonts w:ascii="Arial" w:hAnsi="Arial" w:cs="Arial"/>
          <w:lang w:val="de-DE"/>
        </w:rPr>
        <w:t>Fax: +381 11 3972967</w:t>
      </w:r>
    </w:p>
    <w:p w:rsidR="003203C1" w:rsidRPr="00CE255C" w:rsidRDefault="003203C1" w:rsidP="003203C1">
      <w:pPr>
        <w:pStyle w:val="BodyText"/>
        <w:tabs>
          <w:tab w:val="left" w:pos="709"/>
        </w:tabs>
        <w:ind w:left="709" w:hanging="709"/>
        <w:jc w:val="center"/>
        <w:rPr>
          <w:rFonts w:ascii="Arial" w:hAnsi="Arial" w:cs="Arial"/>
        </w:rPr>
      </w:pPr>
      <w:r w:rsidRPr="004F2074">
        <w:rPr>
          <w:rFonts w:ascii="Arial" w:hAnsi="Arial" w:cs="Arial"/>
          <w:lang w:val="de-DE"/>
        </w:rPr>
        <w:t xml:space="preserve">E-mail: </w:t>
      </w:r>
      <w:hyperlink r:id="rId9" w:history="1">
        <w:r w:rsidRPr="00481DA3">
          <w:rPr>
            <w:rStyle w:val="Hyperlink"/>
            <w:rFonts w:ascii="Arial" w:hAnsi="Arial" w:cs="Arial"/>
            <w:lang w:val="de-DE"/>
          </w:rPr>
          <w:t>radan.radovic@eps.rs</w:t>
        </w:r>
      </w:hyperlink>
    </w:p>
    <w:p w:rsidR="008660D7" w:rsidRPr="00CE255C" w:rsidRDefault="008660D7" w:rsidP="008660D7">
      <w:pPr>
        <w:pStyle w:val="BodyText"/>
        <w:tabs>
          <w:tab w:val="left" w:pos="709"/>
        </w:tabs>
        <w:ind w:left="709" w:hanging="709"/>
        <w:rPr>
          <w:rFonts w:ascii="Arial" w:hAnsi="Arial" w:cs="Arial"/>
          <w:sz w:val="16"/>
          <w:szCs w:val="16"/>
        </w:rPr>
      </w:pPr>
    </w:p>
    <w:p w:rsidR="008660D7" w:rsidRPr="00CE255C" w:rsidRDefault="008660D7" w:rsidP="008660D7">
      <w:pPr>
        <w:pStyle w:val="BodyText"/>
        <w:tabs>
          <w:tab w:val="left" w:pos="709"/>
        </w:tabs>
        <w:ind w:left="709" w:hanging="709"/>
        <w:jc w:val="left"/>
        <w:rPr>
          <w:rFonts w:ascii="Arial" w:hAnsi="Arial" w:cs="Arial"/>
        </w:rPr>
      </w:pPr>
      <w:r w:rsidRPr="00CE255C">
        <w:rPr>
          <w:rFonts w:ascii="Arial" w:hAnsi="Arial" w:cs="Arial"/>
        </w:rPr>
        <w:t xml:space="preserve">12. </w:t>
      </w:r>
      <w:r w:rsidRPr="00CE255C">
        <w:rPr>
          <w:rFonts w:ascii="Arial" w:hAnsi="Arial" w:cs="Arial"/>
        </w:rPr>
        <w:tab/>
        <w:t xml:space="preserve">The Tenderers wishing to submit Tender shall fulfill following qualifying criteria: </w:t>
      </w:r>
    </w:p>
    <w:p w:rsidR="008660D7" w:rsidRPr="00CE255C" w:rsidRDefault="008660D7" w:rsidP="008660D7">
      <w:pPr>
        <w:pStyle w:val="BodyText"/>
        <w:tabs>
          <w:tab w:val="left" w:pos="709"/>
        </w:tabs>
        <w:ind w:left="709"/>
        <w:rPr>
          <w:rFonts w:ascii="Arial" w:hAnsi="Arial" w:cs="Arial"/>
          <w:szCs w:val="24"/>
        </w:rPr>
      </w:pPr>
      <w:r w:rsidRPr="00CE255C">
        <w:rPr>
          <w:rFonts w:ascii="Arial" w:hAnsi="Arial" w:cs="Arial"/>
          <w:b/>
          <w:bCs/>
          <w:szCs w:val="24"/>
        </w:rPr>
        <w:lastRenderedPageBreak/>
        <w:tab/>
        <w:t>United Nations Security Council Resolution -</w:t>
      </w:r>
      <w:r w:rsidRPr="00CE255C">
        <w:rPr>
          <w:rFonts w:ascii="Arial" w:hAnsi="Arial" w:cs="Arial"/>
          <w:szCs w:val="24"/>
        </w:rPr>
        <w:t xml:space="preserve"> Not having been excluded by an act of compliance with UN Security Council resolution;</w:t>
      </w:r>
    </w:p>
    <w:p w:rsidR="008660D7" w:rsidRPr="00CE255C" w:rsidRDefault="008660D7" w:rsidP="008660D7">
      <w:pPr>
        <w:pStyle w:val="BodyText"/>
        <w:tabs>
          <w:tab w:val="left" w:pos="709"/>
        </w:tabs>
        <w:rPr>
          <w:rFonts w:ascii="Arial" w:hAnsi="Arial" w:cs="Arial"/>
          <w:szCs w:val="24"/>
        </w:rPr>
      </w:pPr>
      <w:r w:rsidRPr="00CE255C">
        <w:rPr>
          <w:rFonts w:ascii="Arial" w:hAnsi="Arial" w:cs="Arial"/>
          <w:b/>
          <w:bCs/>
          <w:szCs w:val="24"/>
        </w:rPr>
        <w:tab/>
        <w:t>Conflict of Interest -</w:t>
      </w:r>
      <w:r w:rsidRPr="00CE255C">
        <w:rPr>
          <w:rFonts w:ascii="Arial" w:hAnsi="Arial" w:cs="Arial"/>
          <w:szCs w:val="24"/>
        </w:rPr>
        <w:t xml:space="preserve"> No conflicts of interest;</w:t>
      </w:r>
    </w:p>
    <w:p w:rsidR="008660D7" w:rsidRPr="00CE255C" w:rsidRDefault="008660D7" w:rsidP="008660D7">
      <w:pPr>
        <w:pStyle w:val="BodyText"/>
        <w:tabs>
          <w:tab w:val="left" w:pos="709"/>
        </w:tabs>
        <w:ind w:left="709"/>
        <w:rPr>
          <w:rFonts w:ascii="Arial" w:hAnsi="Arial" w:cs="Arial"/>
          <w:szCs w:val="24"/>
        </w:rPr>
      </w:pPr>
      <w:r w:rsidRPr="00CE255C">
        <w:rPr>
          <w:rFonts w:ascii="Arial" w:hAnsi="Arial" w:cs="Arial"/>
          <w:b/>
          <w:bCs/>
          <w:szCs w:val="24"/>
        </w:rPr>
        <w:tab/>
      </w:r>
      <w:proofErr w:type="gramStart"/>
      <w:r w:rsidRPr="00CE255C">
        <w:rPr>
          <w:rFonts w:ascii="Arial" w:hAnsi="Arial" w:cs="Arial"/>
          <w:b/>
          <w:bCs/>
          <w:szCs w:val="24"/>
        </w:rPr>
        <w:t>Serbian laws or official regulations -</w:t>
      </w:r>
      <w:r w:rsidRPr="00CE255C">
        <w:rPr>
          <w:rFonts w:ascii="Arial" w:hAnsi="Arial" w:cs="Arial"/>
          <w:szCs w:val="24"/>
        </w:rPr>
        <w:t xml:space="preserve"> Not having been excluded as a result of Serbian laws or official regulations, in accordance with Clause 3.7.</w:t>
      </w:r>
      <w:proofErr w:type="gramEnd"/>
      <w:r w:rsidRPr="00CE255C">
        <w:rPr>
          <w:rFonts w:ascii="Arial" w:hAnsi="Arial" w:cs="Arial"/>
          <w:szCs w:val="24"/>
        </w:rPr>
        <w:t xml:space="preserve"> </w:t>
      </w:r>
      <w:proofErr w:type="gramStart"/>
      <w:r w:rsidRPr="00CE255C">
        <w:rPr>
          <w:rFonts w:ascii="Arial" w:hAnsi="Arial" w:cs="Arial"/>
          <w:szCs w:val="24"/>
        </w:rPr>
        <w:t>of</w:t>
      </w:r>
      <w:proofErr w:type="gramEnd"/>
      <w:r w:rsidRPr="00CE255C">
        <w:rPr>
          <w:rFonts w:ascii="Arial" w:hAnsi="Arial" w:cs="Arial"/>
          <w:szCs w:val="24"/>
        </w:rPr>
        <w:t xml:space="preserve"> the Instructions to Tenderers;</w:t>
      </w:r>
    </w:p>
    <w:p w:rsidR="008660D7" w:rsidRPr="00CE255C" w:rsidRDefault="008660D7" w:rsidP="008660D7">
      <w:pPr>
        <w:pStyle w:val="BodyText"/>
        <w:tabs>
          <w:tab w:val="left" w:pos="709"/>
        </w:tabs>
        <w:rPr>
          <w:rFonts w:ascii="Arial" w:hAnsi="Arial" w:cs="Arial"/>
          <w:szCs w:val="24"/>
        </w:rPr>
      </w:pPr>
      <w:r w:rsidRPr="00CE255C">
        <w:rPr>
          <w:rFonts w:ascii="Arial" w:hAnsi="Arial" w:cs="Arial"/>
          <w:b/>
          <w:bCs/>
          <w:szCs w:val="24"/>
        </w:rPr>
        <w:tab/>
        <w:t>Declaration of Undertaking -</w:t>
      </w:r>
      <w:r w:rsidRPr="00CE255C">
        <w:rPr>
          <w:rFonts w:ascii="Arial" w:hAnsi="Arial" w:cs="Arial"/>
          <w:szCs w:val="24"/>
        </w:rPr>
        <w:t xml:space="preserve"> Submission of Declaration of Undertaking;</w:t>
      </w:r>
    </w:p>
    <w:p w:rsidR="008660D7" w:rsidRPr="00CE255C" w:rsidRDefault="008660D7" w:rsidP="008660D7">
      <w:pPr>
        <w:pStyle w:val="BodyText"/>
        <w:tabs>
          <w:tab w:val="left" w:pos="709"/>
        </w:tabs>
        <w:ind w:left="709"/>
        <w:rPr>
          <w:rFonts w:ascii="Arial" w:hAnsi="Arial" w:cs="Arial"/>
          <w:szCs w:val="24"/>
        </w:rPr>
      </w:pPr>
      <w:r w:rsidRPr="00CE255C">
        <w:rPr>
          <w:rFonts w:ascii="Arial" w:hAnsi="Arial" w:cs="Arial"/>
          <w:b/>
          <w:bCs/>
          <w:szCs w:val="24"/>
        </w:rPr>
        <w:tab/>
        <w:t>History of Non-Performing Contracts</w:t>
      </w:r>
      <w:r w:rsidRPr="00CE255C">
        <w:rPr>
          <w:rFonts w:ascii="Arial" w:hAnsi="Arial" w:cs="Arial"/>
          <w:szCs w:val="24"/>
        </w:rPr>
        <w:t xml:space="preserve"> - Nonperformance of a contract did not occur within the last five (5) years prior to the deadline for Tender submission based on all information on fully settled disputes or litigation;</w:t>
      </w:r>
    </w:p>
    <w:p w:rsidR="008660D7" w:rsidRPr="00CE255C" w:rsidRDefault="008660D7" w:rsidP="008660D7">
      <w:pPr>
        <w:pStyle w:val="BodyText"/>
        <w:tabs>
          <w:tab w:val="left" w:pos="709"/>
        </w:tabs>
        <w:ind w:left="709"/>
        <w:rPr>
          <w:rFonts w:ascii="Arial" w:hAnsi="Arial" w:cs="Arial"/>
          <w:szCs w:val="24"/>
        </w:rPr>
      </w:pPr>
      <w:r w:rsidRPr="00CE255C">
        <w:rPr>
          <w:rFonts w:ascii="Arial" w:hAnsi="Arial" w:cs="Arial"/>
          <w:b/>
          <w:bCs/>
          <w:szCs w:val="24"/>
        </w:rPr>
        <w:tab/>
        <w:t xml:space="preserve">Pending Litigation - </w:t>
      </w:r>
      <w:r w:rsidRPr="00CE255C">
        <w:rPr>
          <w:rFonts w:ascii="Arial" w:hAnsi="Arial" w:cs="Arial"/>
          <w:szCs w:val="24"/>
        </w:rPr>
        <w:t>All pending litigation shall in total not represent more than fifty percent (50%) of the Tenderer's net worth and shall be treated as resolved against the Tender;</w:t>
      </w:r>
    </w:p>
    <w:p w:rsidR="008660D7" w:rsidRPr="00CE255C" w:rsidRDefault="008660D7" w:rsidP="008660D7">
      <w:pPr>
        <w:pStyle w:val="BodyText"/>
        <w:tabs>
          <w:tab w:val="left" w:pos="709"/>
        </w:tabs>
        <w:ind w:left="709"/>
        <w:rPr>
          <w:rFonts w:ascii="Arial" w:hAnsi="Arial" w:cs="Arial"/>
          <w:b/>
          <w:bCs/>
          <w:szCs w:val="24"/>
        </w:rPr>
      </w:pPr>
      <w:r w:rsidRPr="00CE255C">
        <w:rPr>
          <w:rFonts w:ascii="Arial" w:hAnsi="Arial" w:cs="Arial"/>
          <w:b/>
          <w:bCs/>
          <w:szCs w:val="24"/>
        </w:rPr>
        <w:t>Financial Performance -</w:t>
      </w:r>
      <w:r w:rsidRPr="00CE255C">
        <w:rPr>
          <w:rFonts w:ascii="Arial" w:hAnsi="Arial" w:cs="Arial"/>
          <w:szCs w:val="24"/>
        </w:rPr>
        <w:t xml:space="preserve"> Submission of audited balance sheets for the last</w:t>
      </w:r>
      <w:r w:rsidRPr="00CE255C">
        <w:rPr>
          <w:rFonts w:ascii="Arial" w:hAnsi="Arial" w:cs="Arial"/>
          <w:szCs w:val="24"/>
        </w:rPr>
        <w:br/>
        <w:t>five (5) years to demonstrate the current soundness of the Tenderer's financial position and its prospective long term profitability;</w:t>
      </w:r>
    </w:p>
    <w:p w:rsidR="008660D7" w:rsidRPr="00CE255C" w:rsidRDefault="008660D7" w:rsidP="008660D7">
      <w:pPr>
        <w:pStyle w:val="BodyText"/>
        <w:tabs>
          <w:tab w:val="left" w:pos="709"/>
        </w:tabs>
        <w:ind w:left="709"/>
        <w:rPr>
          <w:rFonts w:ascii="Arial" w:hAnsi="Arial" w:cs="Arial"/>
          <w:b/>
          <w:bCs/>
          <w:szCs w:val="24"/>
        </w:rPr>
      </w:pPr>
      <w:r w:rsidRPr="00CE255C">
        <w:rPr>
          <w:rFonts w:ascii="Arial" w:hAnsi="Arial" w:cs="Arial"/>
          <w:b/>
          <w:bCs/>
          <w:szCs w:val="24"/>
        </w:rPr>
        <w:t>Average Annual Contract Turnover -</w:t>
      </w:r>
      <w:r w:rsidRPr="00CE255C">
        <w:rPr>
          <w:rFonts w:ascii="Arial" w:hAnsi="Arial" w:cs="Arial"/>
          <w:szCs w:val="24"/>
        </w:rPr>
        <w:t xml:space="preserve"> Minimum average annual turnover of </w:t>
      </w:r>
      <w:r>
        <w:rPr>
          <w:rFonts w:ascii="Arial" w:hAnsi="Arial" w:cs="Arial"/>
          <w:szCs w:val="24"/>
        </w:rPr>
        <w:t>ten</w:t>
      </w:r>
      <w:r w:rsidRPr="00CE255C">
        <w:rPr>
          <w:rFonts w:ascii="Arial" w:hAnsi="Arial" w:cs="Arial"/>
          <w:szCs w:val="24"/>
        </w:rPr>
        <w:t xml:space="preserve"> million (</w:t>
      </w:r>
      <w:r>
        <w:rPr>
          <w:rFonts w:ascii="Arial" w:hAnsi="Arial" w:cs="Arial"/>
          <w:szCs w:val="24"/>
        </w:rPr>
        <w:t>1</w:t>
      </w:r>
      <w:r w:rsidRPr="00CE255C">
        <w:rPr>
          <w:rFonts w:ascii="Arial" w:hAnsi="Arial" w:cs="Arial"/>
          <w:szCs w:val="24"/>
        </w:rPr>
        <w:t>0.000.000) EUR, within the last five (5) years;</w:t>
      </w:r>
    </w:p>
    <w:p w:rsidR="00050394" w:rsidRPr="006A4F65" w:rsidRDefault="00050394" w:rsidP="00050394">
      <w:pPr>
        <w:pStyle w:val="BodyText"/>
        <w:tabs>
          <w:tab w:val="left" w:pos="709"/>
          <w:tab w:val="left" w:pos="5670"/>
        </w:tabs>
        <w:ind w:left="709"/>
        <w:rPr>
          <w:rFonts w:ascii="Arial" w:hAnsi="Arial" w:cs="Arial"/>
          <w:b/>
          <w:bCs/>
          <w:szCs w:val="24"/>
        </w:rPr>
      </w:pPr>
      <w:r w:rsidRPr="006A4F65">
        <w:rPr>
          <w:rFonts w:ascii="Arial" w:hAnsi="Arial" w:cs="Arial"/>
          <w:b/>
          <w:bCs/>
          <w:szCs w:val="24"/>
        </w:rPr>
        <w:t xml:space="preserve">General Experience - </w:t>
      </w:r>
      <w:r w:rsidRPr="006A4F65">
        <w:rPr>
          <w:rFonts w:ascii="Arial" w:hAnsi="Arial" w:cs="Arial"/>
          <w:szCs w:val="24"/>
        </w:rPr>
        <w:t>Experience under construction contracts in the role of prime contractor, JV member, sub/contractor, or management contractor for at least</w:t>
      </w:r>
      <w:r>
        <w:rPr>
          <w:rFonts w:ascii="Arial" w:hAnsi="Arial" w:cs="Arial"/>
          <w:szCs w:val="24"/>
        </w:rPr>
        <w:t xml:space="preserve"> </w:t>
      </w:r>
      <w:r w:rsidRPr="006A4F65">
        <w:rPr>
          <w:rFonts w:ascii="Arial" w:hAnsi="Arial" w:cs="Arial"/>
          <w:szCs w:val="24"/>
        </w:rPr>
        <w:t>three (3) contracts within the last ten (10) years,</w:t>
      </w:r>
      <w:r>
        <w:rPr>
          <w:rFonts w:ascii="Arial" w:hAnsi="Arial" w:cs="Arial"/>
          <w:szCs w:val="24"/>
        </w:rPr>
        <w:t xml:space="preserve"> </w:t>
      </w:r>
      <w:r w:rsidRPr="006A4F65">
        <w:rPr>
          <w:rFonts w:ascii="Arial" w:hAnsi="Arial" w:cs="Arial"/>
          <w:szCs w:val="24"/>
        </w:rPr>
        <w:t xml:space="preserve">starting </w:t>
      </w:r>
      <w:r>
        <w:rPr>
          <w:rFonts w:ascii="Arial" w:hAnsi="Arial" w:cs="Arial"/>
          <w:szCs w:val="24"/>
        </w:rPr>
        <w:t>on</w:t>
      </w:r>
      <w:r w:rsidRPr="006A4F65">
        <w:rPr>
          <w:rFonts w:ascii="Arial" w:hAnsi="Arial" w:cs="Arial"/>
          <w:szCs w:val="24"/>
        </w:rPr>
        <w:t xml:space="preserve"> January</w:t>
      </w:r>
      <w:r>
        <w:rPr>
          <w:rFonts w:ascii="Arial" w:hAnsi="Arial" w:cs="Arial"/>
          <w:szCs w:val="24"/>
        </w:rPr>
        <w:t xml:space="preserve"> 1</w:t>
      </w:r>
      <w:r w:rsidRPr="000D3FD8">
        <w:rPr>
          <w:rFonts w:ascii="Arial" w:hAnsi="Arial" w:cs="Arial"/>
          <w:szCs w:val="24"/>
          <w:vertAlign w:val="superscript"/>
        </w:rPr>
        <w:t>st</w:t>
      </w:r>
      <w:r>
        <w:rPr>
          <w:rFonts w:ascii="Arial" w:hAnsi="Arial" w:cs="Arial"/>
          <w:szCs w:val="24"/>
          <w:vertAlign w:val="superscript"/>
        </w:rPr>
        <w:t xml:space="preserve"> </w:t>
      </w:r>
      <w:r w:rsidRPr="006A4F65">
        <w:rPr>
          <w:rFonts w:ascii="Arial" w:hAnsi="Arial" w:cs="Arial"/>
          <w:szCs w:val="24"/>
        </w:rPr>
        <w:t>20</w:t>
      </w:r>
      <w:r>
        <w:rPr>
          <w:rFonts w:ascii="Arial" w:hAnsi="Arial" w:cs="Arial"/>
          <w:szCs w:val="24"/>
        </w:rPr>
        <w:t>0</w:t>
      </w:r>
      <w:r w:rsidRPr="006A4F65">
        <w:rPr>
          <w:rFonts w:ascii="Arial" w:hAnsi="Arial" w:cs="Arial"/>
          <w:szCs w:val="24"/>
        </w:rPr>
        <w:t>4</w:t>
      </w:r>
      <w:proofErr w:type="gramStart"/>
      <w:r>
        <w:rPr>
          <w:rFonts w:ascii="Arial" w:hAnsi="Arial" w:cs="Arial"/>
          <w:szCs w:val="24"/>
        </w:rPr>
        <w:t>,.</w:t>
      </w:r>
      <w:proofErr w:type="gramEnd"/>
    </w:p>
    <w:p w:rsidR="00050394" w:rsidRPr="006A4F65" w:rsidRDefault="00050394" w:rsidP="00050394">
      <w:pPr>
        <w:pStyle w:val="BodyText"/>
        <w:tabs>
          <w:tab w:val="left" w:pos="709"/>
          <w:tab w:val="left" w:pos="5670"/>
        </w:tabs>
        <w:ind w:left="709"/>
        <w:rPr>
          <w:rFonts w:ascii="Arial" w:hAnsi="Arial" w:cs="Arial"/>
          <w:b/>
          <w:bCs/>
          <w:szCs w:val="24"/>
        </w:rPr>
      </w:pPr>
      <w:r w:rsidRPr="006A4F65">
        <w:rPr>
          <w:rFonts w:ascii="Arial" w:hAnsi="Arial" w:cs="Arial"/>
          <w:b/>
          <w:bCs/>
          <w:szCs w:val="24"/>
        </w:rPr>
        <w:t xml:space="preserve">Specific Experience </w:t>
      </w:r>
      <w:r w:rsidRPr="006A4F65">
        <w:rPr>
          <w:rFonts w:ascii="Arial" w:hAnsi="Arial" w:cs="Arial"/>
          <w:szCs w:val="24"/>
        </w:rPr>
        <w:t>A minimum 1 (one) similar contracts specified below that has been satisfactorily and substantially completed as a prime contractor, joint venture member, management contractor or sub-contractor in 10 (ten) years</w:t>
      </w:r>
      <w:r>
        <w:rPr>
          <w:rFonts w:ascii="Arial" w:hAnsi="Arial" w:cs="Arial"/>
          <w:szCs w:val="24"/>
        </w:rPr>
        <w:t xml:space="preserve">, </w:t>
      </w:r>
      <w:r w:rsidRPr="006A4F65">
        <w:rPr>
          <w:rFonts w:ascii="Arial" w:hAnsi="Arial" w:cs="Arial"/>
          <w:szCs w:val="24"/>
        </w:rPr>
        <w:t>between January</w:t>
      </w:r>
      <w:r>
        <w:rPr>
          <w:rFonts w:ascii="Arial" w:hAnsi="Arial" w:cs="Arial"/>
          <w:szCs w:val="24"/>
        </w:rPr>
        <w:t xml:space="preserve"> 1</w:t>
      </w:r>
      <w:r w:rsidRPr="000D3FD8">
        <w:rPr>
          <w:rFonts w:ascii="Arial" w:hAnsi="Arial" w:cs="Arial"/>
          <w:szCs w:val="24"/>
          <w:vertAlign w:val="superscript"/>
        </w:rPr>
        <w:t>st</w:t>
      </w:r>
      <w:r w:rsidRPr="006A4F65">
        <w:rPr>
          <w:rFonts w:ascii="Arial" w:hAnsi="Arial" w:cs="Arial"/>
          <w:szCs w:val="24"/>
        </w:rPr>
        <w:t xml:space="preserve"> 2004 and application submission deadline</w:t>
      </w:r>
      <w:r>
        <w:rPr>
          <w:rFonts w:ascii="Arial" w:hAnsi="Arial" w:cs="Arial"/>
          <w:szCs w:val="24"/>
        </w:rPr>
        <w:t>.</w:t>
      </w:r>
      <w:r w:rsidRPr="006A4F65">
        <w:rPr>
          <w:rFonts w:ascii="Arial" w:hAnsi="Arial" w:cs="Arial"/>
          <w:szCs w:val="24"/>
        </w:rPr>
        <w:t xml:space="preserve"> </w:t>
      </w:r>
    </w:p>
    <w:p w:rsidR="008660D7" w:rsidRPr="00CE255C" w:rsidRDefault="008660D7" w:rsidP="008660D7">
      <w:pPr>
        <w:pStyle w:val="BodyText"/>
        <w:tabs>
          <w:tab w:val="left" w:pos="709"/>
        </w:tabs>
        <w:ind w:left="709"/>
        <w:rPr>
          <w:rFonts w:ascii="Arial" w:hAnsi="Arial" w:cs="Arial"/>
          <w:szCs w:val="24"/>
        </w:rPr>
      </w:pPr>
      <w:r w:rsidRPr="00CE255C">
        <w:rPr>
          <w:rFonts w:ascii="Arial" w:hAnsi="Arial" w:cs="Arial"/>
          <w:b/>
          <w:bCs/>
          <w:szCs w:val="24"/>
        </w:rPr>
        <w:t xml:space="preserve"> ISO Quality Certificate -</w:t>
      </w:r>
      <w:r w:rsidRPr="00CE255C">
        <w:rPr>
          <w:rFonts w:ascii="Arial" w:hAnsi="Arial" w:cs="Arial"/>
          <w:szCs w:val="24"/>
        </w:rPr>
        <w:t xml:space="preserve"> Tenderer’s company technology certified by an</w:t>
      </w:r>
      <w:r w:rsidRPr="00CE255C">
        <w:rPr>
          <w:rFonts w:ascii="Arial" w:hAnsi="Arial" w:cs="Arial"/>
          <w:szCs w:val="24"/>
        </w:rPr>
        <w:br/>
        <w:t>ISO Quality Certificate;</w:t>
      </w:r>
    </w:p>
    <w:p w:rsidR="008660D7" w:rsidRPr="00CE255C" w:rsidRDefault="008660D7" w:rsidP="008660D7">
      <w:pPr>
        <w:ind w:left="709"/>
        <w:rPr>
          <w:rFonts w:ascii="Arial" w:hAnsi="Arial" w:cs="Arial"/>
          <w:bCs/>
          <w:szCs w:val="24"/>
        </w:rPr>
      </w:pPr>
      <w:r w:rsidRPr="00CE255C">
        <w:rPr>
          <w:rFonts w:ascii="Arial" w:hAnsi="Arial" w:cs="Arial"/>
          <w:b/>
          <w:bCs/>
          <w:szCs w:val="24"/>
        </w:rPr>
        <w:t>Tender Security –</w:t>
      </w:r>
      <w:r>
        <w:rPr>
          <w:rFonts w:ascii="Arial" w:hAnsi="Arial" w:cs="Arial"/>
          <w:b/>
          <w:bCs/>
          <w:szCs w:val="24"/>
        </w:rPr>
        <w:t>150.</w:t>
      </w:r>
      <w:r w:rsidRPr="00CE255C">
        <w:rPr>
          <w:rFonts w:ascii="Arial" w:hAnsi="Arial" w:cs="Arial"/>
          <w:b/>
          <w:bCs/>
          <w:szCs w:val="24"/>
        </w:rPr>
        <w:t>000EUR</w:t>
      </w:r>
    </w:p>
    <w:p w:rsidR="008660D7" w:rsidRPr="00CE255C" w:rsidRDefault="008660D7" w:rsidP="008660D7">
      <w:pPr>
        <w:pStyle w:val="BodyText"/>
        <w:ind w:left="709" w:hanging="709"/>
        <w:rPr>
          <w:rFonts w:ascii="Arial" w:hAnsi="Arial" w:cs="Arial"/>
        </w:rPr>
      </w:pPr>
      <w:r w:rsidRPr="00CE255C">
        <w:rPr>
          <w:rFonts w:ascii="Arial" w:hAnsi="Arial" w:cs="Arial"/>
        </w:rPr>
        <w:t>13.</w:t>
      </w:r>
      <w:r w:rsidRPr="00CE255C">
        <w:rPr>
          <w:rFonts w:ascii="Arial" w:hAnsi="Arial" w:cs="Arial"/>
        </w:rPr>
        <w:tab/>
        <w:t>Only single-entity Tenderers or Joint Venture organized Tenderers shall be considered as eligible and invited to tender execution of the Works.</w:t>
      </w:r>
    </w:p>
    <w:p w:rsidR="008660D7" w:rsidRPr="00CE255C" w:rsidRDefault="008660D7" w:rsidP="008660D7">
      <w:pPr>
        <w:pStyle w:val="BodyText"/>
        <w:tabs>
          <w:tab w:val="left" w:pos="709"/>
        </w:tabs>
        <w:ind w:left="709" w:hanging="709"/>
        <w:rPr>
          <w:rFonts w:ascii="Arial" w:hAnsi="Arial" w:cs="Arial"/>
        </w:rPr>
      </w:pPr>
    </w:p>
    <w:sectPr w:rsidR="008660D7" w:rsidRPr="00CE255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D40" w:rsidRDefault="00943D40" w:rsidP="008660D7">
      <w:r>
        <w:separator/>
      </w:r>
    </w:p>
  </w:endnote>
  <w:endnote w:type="continuationSeparator" w:id="0">
    <w:p w:rsidR="00943D40" w:rsidRDefault="00943D40" w:rsidP="00866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D40" w:rsidRDefault="00943D40" w:rsidP="008660D7">
      <w:r>
        <w:separator/>
      </w:r>
    </w:p>
  </w:footnote>
  <w:footnote w:type="continuationSeparator" w:id="0">
    <w:p w:rsidR="00943D40" w:rsidRDefault="00943D40" w:rsidP="008660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C4275"/>
    <w:multiLevelType w:val="hybridMultilevel"/>
    <w:tmpl w:val="A3BA9284"/>
    <w:lvl w:ilvl="0" w:tplc="AA668EA4">
      <w:start w:val="1"/>
      <w:numFmt w:val="bullet"/>
      <w:lvlText w:val="-"/>
      <w:lvlJc w:val="left"/>
      <w:pPr>
        <w:tabs>
          <w:tab w:val="num" w:pos="1353"/>
        </w:tabs>
        <w:ind w:left="1353" w:hanging="360"/>
      </w:pPr>
      <w:rPr>
        <w:rFonts w:ascii="Times New Roman" w:eastAsia="Times New Roman" w:hAnsi="Times New Roman" w:hint="default"/>
      </w:rPr>
    </w:lvl>
    <w:lvl w:ilvl="1" w:tplc="04090003">
      <w:start w:val="1"/>
      <w:numFmt w:val="bullet"/>
      <w:lvlText w:val="o"/>
      <w:lvlJc w:val="left"/>
      <w:pPr>
        <w:tabs>
          <w:tab w:val="num" w:pos="2073"/>
        </w:tabs>
        <w:ind w:left="2073" w:hanging="360"/>
      </w:pPr>
      <w:rPr>
        <w:rFonts w:ascii="Courier New" w:hAnsi="Courier New" w:hint="default"/>
      </w:rPr>
    </w:lvl>
    <w:lvl w:ilvl="2" w:tplc="04090005" w:tentative="1">
      <w:start w:val="1"/>
      <w:numFmt w:val="bullet"/>
      <w:lvlText w:val=""/>
      <w:lvlJc w:val="left"/>
      <w:pPr>
        <w:tabs>
          <w:tab w:val="num" w:pos="2793"/>
        </w:tabs>
        <w:ind w:left="2793" w:hanging="360"/>
      </w:pPr>
      <w:rPr>
        <w:rFonts w:ascii="Wingdings" w:hAnsi="Wingdings" w:hint="default"/>
      </w:rPr>
    </w:lvl>
    <w:lvl w:ilvl="3" w:tplc="04090001" w:tentative="1">
      <w:start w:val="1"/>
      <w:numFmt w:val="bullet"/>
      <w:lvlText w:val=""/>
      <w:lvlJc w:val="left"/>
      <w:pPr>
        <w:tabs>
          <w:tab w:val="num" w:pos="3513"/>
        </w:tabs>
        <w:ind w:left="3513" w:hanging="360"/>
      </w:pPr>
      <w:rPr>
        <w:rFonts w:ascii="Symbol" w:hAnsi="Symbol" w:hint="default"/>
      </w:rPr>
    </w:lvl>
    <w:lvl w:ilvl="4" w:tplc="04090003" w:tentative="1">
      <w:start w:val="1"/>
      <w:numFmt w:val="bullet"/>
      <w:lvlText w:val="o"/>
      <w:lvlJc w:val="left"/>
      <w:pPr>
        <w:tabs>
          <w:tab w:val="num" w:pos="4233"/>
        </w:tabs>
        <w:ind w:left="4233" w:hanging="360"/>
      </w:pPr>
      <w:rPr>
        <w:rFonts w:ascii="Courier New" w:hAnsi="Courier New" w:hint="default"/>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
    <w:nsid w:val="06896162"/>
    <w:multiLevelType w:val="hybridMultilevel"/>
    <w:tmpl w:val="625A6B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5534CCF"/>
    <w:multiLevelType w:val="multilevel"/>
    <w:tmpl w:val="136465E8"/>
    <w:lvl w:ilvl="0">
      <w:start w:val="1"/>
      <w:numFmt w:val="decimal"/>
      <w:lvlText w:val="%1."/>
      <w:lvlJc w:val="left"/>
      <w:pPr>
        <w:tabs>
          <w:tab w:val="num" w:pos="847"/>
        </w:tabs>
        <w:ind w:left="847" w:hanging="705"/>
      </w:pPr>
      <w:rPr>
        <w:rFonts w:cs="Times New Roman" w:hint="default"/>
      </w:rPr>
    </w:lvl>
    <w:lvl w:ilvl="1">
      <w:start w:val="1"/>
      <w:numFmt w:val="decimal"/>
      <w:isLgl/>
      <w:lvlText w:val="%1.%2."/>
      <w:lvlJc w:val="left"/>
      <w:pPr>
        <w:tabs>
          <w:tab w:val="num" w:pos="810"/>
        </w:tabs>
        <w:ind w:left="810" w:hanging="45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D7"/>
    <w:rsid w:val="00050394"/>
    <w:rsid w:val="00062D01"/>
    <w:rsid w:val="0008254E"/>
    <w:rsid w:val="00297CAB"/>
    <w:rsid w:val="003203C1"/>
    <w:rsid w:val="00321766"/>
    <w:rsid w:val="007A42E1"/>
    <w:rsid w:val="008660D7"/>
    <w:rsid w:val="008956BF"/>
    <w:rsid w:val="0094053F"/>
    <w:rsid w:val="00943D40"/>
    <w:rsid w:val="00973E15"/>
    <w:rsid w:val="00977DBB"/>
    <w:rsid w:val="00B31357"/>
    <w:rsid w:val="00CA5D53"/>
    <w:rsid w:val="00DC468A"/>
    <w:rsid w:val="00FB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D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660D7"/>
    <w:pPr>
      <w:tabs>
        <w:tab w:val="left" w:pos="360"/>
      </w:tabs>
      <w:ind w:left="360" w:hanging="360"/>
    </w:pPr>
    <w:rPr>
      <w:sz w:val="20"/>
    </w:rPr>
  </w:style>
  <w:style w:type="character" w:customStyle="1" w:styleId="FootnoteTextChar">
    <w:name w:val="Footnote Text Char"/>
    <w:basedOn w:val="DefaultParagraphFont"/>
    <w:link w:val="FootnoteText"/>
    <w:uiPriority w:val="99"/>
    <w:semiHidden/>
    <w:rsid w:val="008660D7"/>
    <w:rPr>
      <w:rFonts w:ascii="Times New Roman" w:eastAsia="Times New Roman" w:hAnsi="Times New Roman" w:cs="Times New Roman"/>
      <w:sz w:val="20"/>
      <w:szCs w:val="20"/>
    </w:rPr>
  </w:style>
  <w:style w:type="character" w:styleId="FootnoteReference">
    <w:name w:val="footnote reference"/>
    <w:uiPriority w:val="99"/>
    <w:semiHidden/>
    <w:rsid w:val="008660D7"/>
    <w:rPr>
      <w:rFonts w:cs="Times New Roman"/>
      <w:vertAlign w:val="superscript"/>
    </w:rPr>
  </w:style>
  <w:style w:type="paragraph" w:styleId="BodyText">
    <w:name w:val="Body Text"/>
    <w:basedOn w:val="Normal"/>
    <w:link w:val="BodyTextChar"/>
    <w:uiPriority w:val="99"/>
    <w:rsid w:val="008660D7"/>
    <w:pPr>
      <w:suppressAutoHyphens/>
      <w:ind w:right="-72"/>
    </w:pPr>
    <w:rPr>
      <w:spacing w:val="-4"/>
    </w:rPr>
  </w:style>
  <w:style w:type="character" w:customStyle="1" w:styleId="BodyTextChar">
    <w:name w:val="Body Text Char"/>
    <w:basedOn w:val="DefaultParagraphFont"/>
    <w:link w:val="BodyText"/>
    <w:uiPriority w:val="99"/>
    <w:rsid w:val="008660D7"/>
    <w:rPr>
      <w:rFonts w:ascii="Times New Roman" w:eastAsia="Times New Roman" w:hAnsi="Times New Roman" w:cs="Times New Roman"/>
      <w:spacing w:val="-4"/>
      <w:sz w:val="24"/>
      <w:szCs w:val="20"/>
    </w:rPr>
  </w:style>
  <w:style w:type="character" w:styleId="Hyperlink">
    <w:name w:val="Hyperlink"/>
    <w:uiPriority w:val="99"/>
    <w:rsid w:val="008660D7"/>
    <w:rPr>
      <w:rFonts w:cs="Times New Roman"/>
      <w:color w:val="0000FF"/>
      <w:u w:val="single"/>
    </w:rPr>
  </w:style>
  <w:style w:type="character" w:styleId="CommentReference">
    <w:name w:val="annotation reference"/>
    <w:uiPriority w:val="99"/>
    <w:rsid w:val="008660D7"/>
    <w:rPr>
      <w:rFonts w:cs="Times New Roman"/>
      <w:sz w:val="16"/>
    </w:rPr>
  </w:style>
  <w:style w:type="paragraph" w:styleId="CommentText">
    <w:name w:val="annotation text"/>
    <w:basedOn w:val="Normal"/>
    <w:link w:val="CommentTextChar"/>
    <w:uiPriority w:val="99"/>
    <w:rsid w:val="008660D7"/>
    <w:pPr>
      <w:jc w:val="left"/>
    </w:pPr>
    <w:rPr>
      <w:sz w:val="20"/>
    </w:rPr>
  </w:style>
  <w:style w:type="character" w:customStyle="1" w:styleId="CommentTextChar">
    <w:name w:val="Comment Text Char"/>
    <w:basedOn w:val="DefaultParagraphFont"/>
    <w:link w:val="CommentText"/>
    <w:uiPriority w:val="99"/>
    <w:rsid w:val="008660D7"/>
    <w:rPr>
      <w:rFonts w:ascii="Times New Roman" w:eastAsia="Times New Roman" w:hAnsi="Times New Roman" w:cs="Times New Roman"/>
      <w:sz w:val="20"/>
      <w:szCs w:val="20"/>
    </w:rPr>
  </w:style>
  <w:style w:type="paragraph" w:customStyle="1" w:styleId="Style11">
    <w:name w:val="Style 11"/>
    <w:basedOn w:val="Normal"/>
    <w:uiPriority w:val="99"/>
    <w:rsid w:val="008660D7"/>
    <w:pPr>
      <w:widowControl w:val="0"/>
      <w:autoSpaceDE w:val="0"/>
      <w:autoSpaceDN w:val="0"/>
      <w:spacing w:line="384" w:lineRule="atLeast"/>
      <w:jc w:val="left"/>
    </w:pPr>
    <w:rPr>
      <w:szCs w:val="24"/>
    </w:rPr>
  </w:style>
  <w:style w:type="paragraph" w:styleId="ListParagraph">
    <w:name w:val="List Paragraph"/>
    <w:basedOn w:val="Normal"/>
    <w:uiPriority w:val="34"/>
    <w:qFormat/>
    <w:rsid w:val="008660D7"/>
    <w:pPr>
      <w:ind w:left="720"/>
      <w:contextualSpacing/>
    </w:pPr>
  </w:style>
  <w:style w:type="paragraph" w:styleId="BalloonText">
    <w:name w:val="Balloon Text"/>
    <w:basedOn w:val="Normal"/>
    <w:link w:val="BalloonTextChar"/>
    <w:uiPriority w:val="99"/>
    <w:semiHidden/>
    <w:unhideWhenUsed/>
    <w:rsid w:val="00866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0D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0D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8660D7"/>
    <w:pPr>
      <w:tabs>
        <w:tab w:val="left" w:pos="360"/>
      </w:tabs>
      <w:ind w:left="360" w:hanging="360"/>
    </w:pPr>
    <w:rPr>
      <w:sz w:val="20"/>
    </w:rPr>
  </w:style>
  <w:style w:type="character" w:customStyle="1" w:styleId="FootnoteTextChar">
    <w:name w:val="Footnote Text Char"/>
    <w:basedOn w:val="DefaultParagraphFont"/>
    <w:link w:val="FootnoteText"/>
    <w:uiPriority w:val="99"/>
    <w:semiHidden/>
    <w:rsid w:val="008660D7"/>
    <w:rPr>
      <w:rFonts w:ascii="Times New Roman" w:eastAsia="Times New Roman" w:hAnsi="Times New Roman" w:cs="Times New Roman"/>
      <w:sz w:val="20"/>
      <w:szCs w:val="20"/>
    </w:rPr>
  </w:style>
  <w:style w:type="character" w:styleId="FootnoteReference">
    <w:name w:val="footnote reference"/>
    <w:uiPriority w:val="99"/>
    <w:semiHidden/>
    <w:rsid w:val="008660D7"/>
    <w:rPr>
      <w:rFonts w:cs="Times New Roman"/>
      <w:vertAlign w:val="superscript"/>
    </w:rPr>
  </w:style>
  <w:style w:type="paragraph" w:styleId="BodyText">
    <w:name w:val="Body Text"/>
    <w:basedOn w:val="Normal"/>
    <w:link w:val="BodyTextChar"/>
    <w:uiPriority w:val="99"/>
    <w:rsid w:val="008660D7"/>
    <w:pPr>
      <w:suppressAutoHyphens/>
      <w:ind w:right="-72"/>
    </w:pPr>
    <w:rPr>
      <w:spacing w:val="-4"/>
    </w:rPr>
  </w:style>
  <w:style w:type="character" w:customStyle="1" w:styleId="BodyTextChar">
    <w:name w:val="Body Text Char"/>
    <w:basedOn w:val="DefaultParagraphFont"/>
    <w:link w:val="BodyText"/>
    <w:uiPriority w:val="99"/>
    <w:rsid w:val="008660D7"/>
    <w:rPr>
      <w:rFonts w:ascii="Times New Roman" w:eastAsia="Times New Roman" w:hAnsi="Times New Roman" w:cs="Times New Roman"/>
      <w:spacing w:val="-4"/>
      <w:sz w:val="24"/>
      <w:szCs w:val="20"/>
    </w:rPr>
  </w:style>
  <w:style w:type="character" w:styleId="Hyperlink">
    <w:name w:val="Hyperlink"/>
    <w:uiPriority w:val="99"/>
    <w:rsid w:val="008660D7"/>
    <w:rPr>
      <w:rFonts w:cs="Times New Roman"/>
      <w:color w:val="0000FF"/>
      <w:u w:val="single"/>
    </w:rPr>
  </w:style>
  <w:style w:type="character" w:styleId="CommentReference">
    <w:name w:val="annotation reference"/>
    <w:uiPriority w:val="99"/>
    <w:rsid w:val="008660D7"/>
    <w:rPr>
      <w:rFonts w:cs="Times New Roman"/>
      <w:sz w:val="16"/>
    </w:rPr>
  </w:style>
  <w:style w:type="paragraph" w:styleId="CommentText">
    <w:name w:val="annotation text"/>
    <w:basedOn w:val="Normal"/>
    <w:link w:val="CommentTextChar"/>
    <w:uiPriority w:val="99"/>
    <w:rsid w:val="008660D7"/>
    <w:pPr>
      <w:jc w:val="left"/>
    </w:pPr>
    <w:rPr>
      <w:sz w:val="20"/>
    </w:rPr>
  </w:style>
  <w:style w:type="character" w:customStyle="1" w:styleId="CommentTextChar">
    <w:name w:val="Comment Text Char"/>
    <w:basedOn w:val="DefaultParagraphFont"/>
    <w:link w:val="CommentText"/>
    <w:uiPriority w:val="99"/>
    <w:rsid w:val="008660D7"/>
    <w:rPr>
      <w:rFonts w:ascii="Times New Roman" w:eastAsia="Times New Roman" w:hAnsi="Times New Roman" w:cs="Times New Roman"/>
      <w:sz w:val="20"/>
      <w:szCs w:val="20"/>
    </w:rPr>
  </w:style>
  <w:style w:type="paragraph" w:customStyle="1" w:styleId="Style11">
    <w:name w:val="Style 11"/>
    <w:basedOn w:val="Normal"/>
    <w:uiPriority w:val="99"/>
    <w:rsid w:val="008660D7"/>
    <w:pPr>
      <w:widowControl w:val="0"/>
      <w:autoSpaceDE w:val="0"/>
      <w:autoSpaceDN w:val="0"/>
      <w:spacing w:line="384" w:lineRule="atLeast"/>
      <w:jc w:val="left"/>
    </w:pPr>
    <w:rPr>
      <w:szCs w:val="24"/>
    </w:rPr>
  </w:style>
  <w:style w:type="paragraph" w:styleId="ListParagraph">
    <w:name w:val="List Paragraph"/>
    <w:basedOn w:val="Normal"/>
    <w:uiPriority w:val="34"/>
    <w:qFormat/>
    <w:rsid w:val="008660D7"/>
    <w:pPr>
      <w:ind w:left="720"/>
      <w:contextualSpacing/>
    </w:pPr>
  </w:style>
  <w:style w:type="paragraph" w:styleId="BalloonText">
    <w:name w:val="Balloon Text"/>
    <w:basedOn w:val="Normal"/>
    <w:link w:val="BalloonTextChar"/>
    <w:uiPriority w:val="99"/>
    <w:semiHidden/>
    <w:unhideWhenUsed/>
    <w:rsid w:val="008660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0D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Download-%09Center/PDF-%09Dokumente-Richtlinien/Vergabe-E.pdf"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dan.radovic@eps.r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C10C4-462A-43E9-A984-EE274ADC4D5D}"/>
</file>

<file path=customXml/itemProps2.xml><?xml version="1.0" encoding="utf-8"?>
<ds:datastoreItem xmlns:ds="http://schemas.openxmlformats.org/officeDocument/2006/customXml" ds:itemID="{39CCAD89-92CE-44A2-8664-1C70461F6FB5}"/>
</file>

<file path=customXml/itemProps3.xml><?xml version="1.0" encoding="utf-8"?>
<ds:datastoreItem xmlns:ds="http://schemas.openxmlformats.org/officeDocument/2006/customXml" ds:itemID="{25D1C2C5-3F28-4962-B8FA-0471A1B19D4E}"/>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Radan Radović</dc:creator>
  <cp:lastModifiedBy>Marijana Ivanišević</cp:lastModifiedBy>
  <cp:revision>2</cp:revision>
  <cp:lastPrinted>2015-02-13T10:59:00Z</cp:lastPrinted>
  <dcterms:created xsi:type="dcterms:W3CDTF">2015-02-18T08:50:00Z</dcterms:created>
  <dcterms:modified xsi:type="dcterms:W3CDTF">2015-02-18T08:50:00Z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