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30" w:rsidRPr="001F263B" w:rsidRDefault="00F5280C" w:rsidP="00AE6707">
      <w:pPr>
        <w:jc w:val="center"/>
        <w:rPr>
          <w:rFonts w:ascii="Arial" w:hAnsi="Arial" w:cs="Arial"/>
          <w:b/>
          <w:bCs/>
          <w:color w:val="FFC000"/>
          <w:szCs w:val="24"/>
        </w:rPr>
      </w:pPr>
      <w:r w:rsidRPr="001F263B">
        <w:rPr>
          <w:rFonts w:ascii="Arial" w:hAnsi="Arial" w:cs="Arial"/>
          <w:b/>
          <w:bCs/>
          <w:color w:val="FFC000"/>
          <w:szCs w:val="24"/>
        </w:rPr>
        <w:t>INVITATION TO TENDER</w:t>
      </w:r>
    </w:p>
    <w:p w:rsidR="00AE6707" w:rsidRPr="001F263B" w:rsidRDefault="00AE6707" w:rsidP="00AE6707">
      <w:pPr>
        <w:jc w:val="center"/>
        <w:rPr>
          <w:rFonts w:ascii="Arial" w:hAnsi="Arial" w:cs="Arial"/>
          <w:sz w:val="22"/>
        </w:rPr>
      </w:pPr>
    </w:p>
    <w:p w:rsidR="00235730" w:rsidRPr="001F263B" w:rsidRDefault="00235730" w:rsidP="00AE6707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6688"/>
      </w:tblGrid>
      <w:tr w:rsidR="00AE6707" w:rsidRPr="001F263B" w:rsidTr="008A25AB">
        <w:trPr>
          <w:trHeight w:val="61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E6707" w:rsidRPr="001F263B" w:rsidRDefault="00DA5375" w:rsidP="00AE6707">
            <w:pPr>
              <w:rPr>
                <w:rFonts w:ascii="Arial" w:hAnsi="Arial" w:cs="Arial"/>
                <w:sz w:val="22"/>
              </w:rPr>
            </w:pPr>
            <w:r w:rsidRPr="001F263B">
              <w:rPr>
                <w:rFonts w:ascii="Arial" w:hAnsi="Arial" w:cs="Arial"/>
                <w:sz w:val="22"/>
              </w:rPr>
              <w:t>Employer’s name</w:t>
            </w:r>
            <w:r w:rsidR="00AE6707" w:rsidRPr="001F263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867" w:type="dxa"/>
          </w:tcPr>
          <w:p w:rsidR="00AE6707" w:rsidRDefault="00FB4927" w:rsidP="00AF1D44">
            <w:pPr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</w:rPr>
              <w:t>JAVNO PREDU</w:t>
            </w:r>
            <w:r>
              <w:rPr>
                <w:rFonts w:ascii="Arial" w:hAnsi="Arial" w:cs="Arial"/>
                <w:sz w:val="22"/>
                <w:lang w:val="sr-Latn-RS"/>
              </w:rPr>
              <w:t>ZEĆE ELEKTROPRIVREDA SRBIJE, BEOGRAD</w:t>
            </w:r>
          </w:p>
          <w:p w:rsidR="00C87F4E" w:rsidRPr="001F263B" w:rsidRDefault="00C87F4E" w:rsidP="00AF1D44">
            <w:pPr>
              <w:rPr>
                <w:rFonts w:ascii="Arial" w:hAnsi="Arial" w:cs="Arial"/>
                <w:sz w:val="22"/>
              </w:rPr>
            </w:pPr>
          </w:p>
        </w:tc>
      </w:tr>
      <w:tr w:rsidR="00AE6707" w:rsidRPr="001F263B" w:rsidTr="008A25AB">
        <w:trPr>
          <w:trHeight w:val="61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E6707" w:rsidRPr="001F263B" w:rsidRDefault="00DA5375" w:rsidP="00AE6707">
            <w:pPr>
              <w:rPr>
                <w:rFonts w:ascii="Arial" w:hAnsi="Arial" w:cs="Arial"/>
                <w:sz w:val="22"/>
              </w:rPr>
            </w:pPr>
            <w:r w:rsidRPr="001F263B">
              <w:rPr>
                <w:rFonts w:ascii="Arial" w:hAnsi="Arial" w:cs="Arial"/>
                <w:sz w:val="22"/>
              </w:rPr>
              <w:t>Employer’s address</w:t>
            </w:r>
            <w:r w:rsidR="00AE6707" w:rsidRPr="001F263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867" w:type="dxa"/>
          </w:tcPr>
          <w:p w:rsidR="00AE6707" w:rsidRPr="001F263B" w:rsidRDefault="00117C13" w:rsidP="00A376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Carice Milice 2</w:t>
            </w:r>
            <w:r w:rsidR="00C87F4E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AE6707" w:rsidRPr="001F263B" w:rsidTr="008A25AB">
        <w:trPr>
          <w:trHeight w:val="61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E6707" w:rsidRPr="001F263B" w:rsidRDefault="00FB3C81" w:rsidP="00FB3C81">
            <w:pPr>
              <w:jc w:val="left"/>
              <w:rPr>
                <w:rFonts w:ascii="Arial" w:hAnsi="Arial" w:cs="Arial"/>
                <w:sz w:val="22"/>
              </w:rPr>
            </w:pPr>
            <w:r w:rsidRPr="001F263B">
              <w:rPr>
                <w:rFonts w:ascii="Arial" w:hAnsi="Arial" w:cs="Arial"/>
                <w:sz w:val="22"/>
              </w:rPr>
              <w:t>Web site</w:t>
            </w:r>
            <w:r w:rsidR="00AE6707" w:rsidRPr="001F263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867" w:type="dxa"/>
          </w:tcPr>
          <w:p w:rsidR="00AE6707" w:rsidRPr="001F263B" w:rsidRDefault="00AE6707" w:rsidP="00582B7E">
            <w:pPr>
              <w:rPr>
                <w:rFonts w:ascii="Arial" w:hAnsi="Arial" w:cs="Arial"/>
                <w:sz w:val="22"/>
              </w:rPr>
            </w:pPr>
            <w:r w:rsidRPr="001F263B">
              <w:rPr>
                <w:rFonts w:ascii="Arial" w:hAnsi="Arial" w:cs="Arial"/>
                <w:sz w:val="22"/>
              </w:rPr>
              <w:t>www.eps.rs</w:t>
            </w:r>
          </w:p>
        </w:tc>
      </w:tr>
      <w:tr w:rsidR="00AE6707" w:rsidRPr="001F263B" w:rsidTr="008A25AB">
        <w:trPr>
          <w:trHeight w:val="61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AE6707" w:rsidRPr="001F263B" w:rsidRDefault="00DA5375" w:rsidP="00AE6707">
            <w:pPr>
              <w:rPr>
                <w:rFonts w:ascii="Arial" w:hAnsi="Arial" w:cs="Arial"/>
                <w:sz w:val="22"/>
              </w:rPr>
            </w:pPr>
            <w:r w:rsidRPr="001F263B">
              <w:rPr>
                <w:rFonts w:ascii="Arial" w:hAnsi="Arial" w:cs="Arial"/>
                <w:sz w:val="22"/>
              </w:rPr>
              <w:t>Type of Employer</w:t>
            </w:r>
            <w:r w:rsidR="00AE6707" w:rsidRPr="001F263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867" w:type="dxa"/>
          </w:tcPr>
          <w:p w:rsidR="00AE6707" w:rsidRPr="001F263B" w:rsidRDefault="00F94F6B" w:rsidP="00A376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6B3480" w:rsidRPr="001F263B">
              <w:rPr>
                <w:rFonts w:ascii="Arial" w:hAnsi="Arial" w:cs="Arial"/>
                <w:sz w:val="22"/>
              </w:rPr>
              <w:t>ublic enterprises</w:t>
            </w:r>
          </w:p>
        </w:tc>
      </w:tr>
      <w:tr w:rsidR="00AE6707" w:rsidRPr="001F263B" w:rsidTr="003A25C0">
        <w:trPr>
          <w:trHeight w:val="788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931E84" w:rsidRPr="001F263B" w:rsidRDefault="00DA5375" w:rsidP="003A25C0">
            <w:pPr>
              <w:rPr>
                <w:rFonts w:ascii="Arial" w:hAnsi="Arial" w:cs="Arial"/>
                <w:sz w:val="22"/>
              </w:rPr>
            </w:pPr>
            <w:r w:rsidRPr="001F263B">
              <w:rPr>
                <w:rFonts w:ascii="Arial" w:hAnsi="Arial" w:cs="Arial"/>
                <w:sz w:val="22"/>
              </w:rPr>
              <w:t xml:space="preserve">Type </w:t>
            </w:r>
            <w:r w:rsidR="00931E84" w:rsidRPr="001F263B">
              <w:rPr>
                <w:rFonts w:ascii="Arial" w:hAnsi="Arial" w:cs="Arial"/>
                <w:sz w:val="22"/>
              </w:rPr>
              <w:t>of procedure</w:t>
            </w:r>
            <w:r w:rsidR="00AE6707" w:rsidRPr="001F263B">
              <w:rPr>
                <w:rFonts w:ascii="Arial" w:hAnsi="Arial" w:cs="Arial"/>
                <w:sz w:val="22"/>
              </w:rPr>
              <w:t>:</w:t>
            </w:r>
          </w:p>
          <w:p w:rsidR="003A25C0" w:rsidRPr="001F263B" w:rsidRDefault="003A25C0" w:rsidP="003A25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867" w:type="dxa"/>
          </w:tcPr>
          <w:p w:rsidR="00931E84" w:rsidRPr="001F263B" w:rsidRDefault="003266AC" w:rsidP="003A25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Open</w:t>
            </w:r>
            <w:r w:rsidR="00352A5D">
              <w:rPr>
                <w:rFonts w:ascii="Arial" w:hAnsi="Arial" w:cs="Arial"/>
                <w:sz w:val="22"/>
              </w:rPr>
              <w:t xml:space="preserve"> procedure</w:t>
            </w:r>
          </w:p>
        </w:tc>
      </w:tr>
      <w:tr w:rsidR="00931E84" w:rsidRPr="001F263B" w:rsidTr="008A25AB">
        <w:trPr>
          <w:trHeight w:val="610"/>
        </w:trPr>
        <w:tc>
          <w:tcPr>
            <w:tcW w:w="2376" w:type="dxa"/>
            <w:tcBorders>
              <w:top w:val="nil"/>
              <w:left w:val="nil"/>
              <w:bottom w:val="nil"/>
            </w:tcBorders>
          </w:tcPr>
          <w:p w:rsidR="00931E84" w:rsidRPr="001F263B" w:rsidRDefault="00931E84" w:rsidP="00AE6707">
            <w:pPr>
              <w:rPr>
                <w:rFonts w:ascii="Arial" w:hAnsi="Arial" w:cs="Arial"/>
                <w:sz w:val="22"/>
              </w:rPr>
            </w:pPr>
            <w:r w:rsidRPr="001F263B">
              <w:rPr>
                <w:rFonts w:ascii="Arial" w:hAnsi="Arial" w:cs="Arial"/>
                <w:sz w:val="22"/>
              </w:rPr>
              <w:t>Type of subject:</w:t>
            </w:r>
          </w:p>
        </w:tc>
        <w:tc>
          <w:tcPr>
            <w:tcW w:w="6867" w:type="dxa"/>
          </w:tcPr>
          <w:p w:rsidR="00931E84" w:rsidRPr="001F263B" w:rsidRDefault="00A37653" w:rsidP="00AE67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Services</w:t>
            </w:r>
          </w:p>
        </w:tc>
      </w:tr>
    </w:tbl>
    <w:p w:rsidR="00235730" w:rsidRPr="001F263B" w:rsidRDefault="00235730" w:rsidP="00AE6707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2"/>
        </w:rPr>
      </w:pPr>
    </w:p>
    <w:p w:rsidR="003266AC" w:rsidRDefault="003266AC" w:rsidP="00AE065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235730" w:rsidRDefault="00DA5375" w:rsidP="00AE065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F263B">
        <w:rPr>
          <w:rFonts w:ascii="Arial" w:hAnsi="Arial" w:cs="Arial"/>
          <w:b/>
          <w:bCs/>
          <w:sz w:val="22"/>
        </w:rPr>
        <w:t>For goods and services</w:t>
      </w:r>
      <w:r w:rsidR="00235730" w:rsidRPr="001F263B">
        <w:rPr>
          <w:rFonts w:ascii="Arial" w:hAnsi="Arial" w:cs="Arial"/>
          <w:b/>
          <w:bCs/>
          <w:sz w:val="22"/>
        </w:rPr>
        <w:t xml:space="preserve">: </w:t>
      </w:r>
      <w:r w:rsidRPr="001F263B">
        <w:rPr>
          <w:rFonts w:ascii="Arial" w:hAnsi="Arial" w:cs="Arial"/>
          <w:sz w:val="22"/>
        </w:rPr>
        <w:t>description of procurement</w:t>
      </w:r>
      <w:r w:rsidR="00931E84" w:rsidRPr="001F263B">
        <w:rPr>
          <w:rFonts w:ascii="Arial" w:hAnsi="Arial" w:cs="Arial"/>
          <w:sz w:val="22"/>
        </w:rPr>
        <w:t xml:space="preserve"> subject</w:t>
      </w:r>
      <w:r w:rsidRPr="001F263B">
        <w:rPr>
          <w:rFonts w:ascii="Arial" w:hAnsi="Arial" w:cs="Arial"/>
          <w:sz w:val="22"/>
        </w:rPr>
        <w:t xml:space="preserve">, name and </w:t>
      </w:r>
      <w:r w:rsidR="00931E84" w:rsidRPr="001F263B">
        <w:rPr>
          <w:rFonts w:ascii="Arial" w:hAnsi="Arial" w:cs="Arial"/>
          <w:sz w:val="22"/>
        </w:rPr>
        <w:t>designation in the</w:t>
      </w:r>
      <w:r w:rsidRPr="001F263B">
        <w:rPr>
          <w:rFonts w:ascii="Arial" w:hAnsi="Arial" w:cs="Arial"/>
          <w:sz w:val="22"/>
        </w:rPr>
        <w:t xml:space="preserve"> </w:t>
      </w:r>
      <w:r w:rsidR="002B62DA" w:rsidRPr="001F263B">
        <w:rPr>
          <w:rFonts w:ascii="Arial" w:hAnsi="Arial" w:cs="Arial"/>
          <w:sz w:val="22"/>
        </w:rPr>
        <w:t>Common Procurement Vocabulary,</w:t>
      </w:r>
      <w:r w:rsidR="00257B66" w:rsidRPr="001F263B">
        <w:rPr>
          <w:rFonts w:ascii="Arial" w:hAnsi="Arial" w:cs="Arial"/>
          <w:sz w:val="22"/>
        </w:rPr>
        <w:t xml:space="preserve"> </w:t>
      </w:r>
      <w:r w:rsidRPr="001F263B">
        <w:rPr>
          <w:rFonts w:ascii="Arial" w:hAnsi="Arial" w:cs="Arial"/>
          <w:sz w:val="22"/>
        </w:rPr>
        <w:t xml:space="preserve"> </w:t>
      </w:r>
    </w:p>
    <w:p w:rsidR="003266AC" w:rsidRPr="003266AC" w:rsidRDefault="003266AC" w:rsidP="00AE065C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3266AC">
        <w:rPr>
          <w:rFonts w:ascii="Arial" w:hAnsi="Arial" w:cs="Arial"/>
          <w:b/>
          <w:sz w:val="22"/>
        </w:rPr>
        <w:t>For works</w:t>
      </w:r>
      <w:r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</w:rPr>
        <w:t xml:space="preserve">nature and scope of works and basic characteristics of works, place of work execution, designation from activity classification i.e. name and </w:t>
      </w:r>
      <w:r w:rsidRPr="001F263B">
        <w:rPr>
          <w:rFonts w:ascii="Arial" w:hAnsi="Arial" w:cs="Arial"/>
          <w:sz w:val="22"/>
        </w:rPr>
        <w:t>designation in the Common Procurement Vocabulary</w:t>
      </w:r>
      <w:r>
        <w:rPr>
          <w:rFonts w:ascii="Arial" w:hAnsi="Arial" w:cs="Arial"/>
          <w:sz w:val="22"/>
        </w:rPr>
        <w:t xml:space="preserve">: </w:t>
      </w:r>
    </w:p>
    <w:p w:rsidR="00AE6707" w:rsidRPr="001F263B" w:rsidRDefault="00AE6707" w:rsidP="00AE6707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35730" w:rsidRPr="001F263B" w:rsidTr="00AE6707">
        <w:trPr>
          <w:trHeight w:val="1637"/>
        </w:trPr>
        <w:tc>
          <w:tcPr>
            <w:tcW w:w="9243" w:type="dxa"/>
          </w:tcPr>
          <w:p w:rsidR="00C8250E" w:rsidRDefault="007E2B59" w:rsidP="00134BE5">
            <w:pPr>
              <w:pStyle w:val="BodyText"/>
              <w:ind w:right="317"/>
              <w:rPr>
                <w:rFonts w:ascii="Arial" w:hAnsi="Arial" w:cs="Arial"/>
                <w:sz w:val="22"/>
                <w:lang w:val="sr-Latn-RS"/>
              </w:rPr>
            </w:pPr>
            <w:r w:rsidRPr="007E2B59">
              <w:rPr>
                <w:rFonts w:ascii="Arial" w:hAnsi="Arial" w:cs="Arial"/>
                <w:i/>
                <w:sz w:val="22"/>
                <w:lang w:val="en-US"/>
              </w:rPr>
              <w:t>Services for implementation of information s</w:t>
            </w:r>
            <w:r w:rsidRPr="007E2B59">
              <w:rPr>
                <w:rFonts w:ascii="Arial" w:hAnsi="Arial" w:cs="Arial"/>
                <w:i/>
                <w:sz w:val="22"/>
                <w:lang w:val="sr-Latn-RS"/>
              </w:rPr>
              <w:t>ystem for consolidated calculation and electricity collection</w:t>
            </w:r>
            <w:r>
              <w:rPr>
                <w:rFonts w:ascii="Arial" w:hAnsi="Arial" w:cs="Arial"/>
                <w:i/>
                <w:sz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2"/>
                <w:lang w:val="sr-Latn-RS"/>
              </w:rPr>
              <w:t>PP/1000/0213/2016</w:t>
            </w:r>
          </w:p>
          <w:p w:rsidR="007E2B59" w:rsidRPr="007E2B59" w:rsidRDefault="007E2B59" w:rsidP="00134BE5">
            <w:pPr>
              <w:pStyle w:val="BodyText"/>
              <w:ind w:right="317"/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  <w:lang w:val="sr-Latn-RS"/>
              </w:rPr>
              <w:t>48490000 – program package for sale, placement and business intelligence, 72265000 – software configuration services, 72266000 – software consulting services, 72267000 – software maintenance and repair services.</w:t>
            </w:r>
          </w:p>
        </w:tc>
      </w:tr>
    </w:tbl>
    <w:p w:rsidR="00235730" w:rsidRPr="001F263B" w:rsidRDefault="00235730" w:rsidP="00AE6707">
      <w:pPr>
        <w:rPr>
          <w:rFonts w:ascii="Arial" w:hAnsi="Arial" w:cs="Arial"/>
          <w:sz w:val="22"/>
        </w:rPr>
      </w:pPr>
    </w:p>
    <w:p w:rsidR="00931E84" w:rsidRDefault="00C175BA" w:rsidP="00931E84">
      <w:pPr>
        <w:rPr>
          <w:rFonts w:ascii="Arial" w:hAnsi="Arial" w:cs="Arial"/>
          <w:sz w:val="22"/>
        </w:rPr>
      </w:pPr>
      <w:r w:rsidRPr="00C175BA">
        <w:rPr>
          <w:rFonts w:ascii="Arial" w:hAnsi="Arial" w:cs="Arial"/>
          <w:sz w:val="22"/>
        </w:rPr>
        <w:t>Number of lots, if procurement subject is divided into several lots:</w:t>
      </w:r>
    </w:p>
    <w:p w:rsidR="00C175BA" w:rsidRDefault="00C175BA" w:rsidP="00931E84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175BA" w:rsidRPr="001F263B" w:rsidTr="00053898">
        <w:trPr>
          <w:trHeight w:val="638"/>
        </w:trPr>
        <w:tc>
          <w:tcPr>
            <w:tcW w:w="9243" w:type="dxa"/>
          </w:tcPr>
          <w:p w:rsidR="00C175BA" w:rsidRDefault="00A37653" w:rsidP="00117C13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/</w:t>
            </w:r>
          </w:p>
          <w:p w:rsidR="00117C13" w:rsidRPr="001F263B" w:rsidRDefault="00117C13" w:rsidP="003B6CA6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C175BA" w:rsidRPr="001F263B" w:rsidRDefault="00C175BA" w:rsidP="00C175BA">
      <w:pPr>
        <w:rPr>
          <w:rFonts w:ascii="Arial" w:hAnsi="Arial" w:cs="Arial"/>
          <w:sz w:val="22"/>
        </w:rPr>
      </w:pPr>
    </w:p>
    <w:p w:rsidR="00C175BA" w:rsidRPr="001F263B" w:rsidRDefault="00C175BA" w:rsidP="00C175BA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F263B">
        <w:rPr>
          <w:rFonts w:ascii="Arial" w:hAnsi="Arial" w:cs="Arial"/>
          <w:sz w:val="22"/>
        </w:rPr>
        <w:t xml:space="preserve">Specific note if the contract on public procurement is reserved for institutions, organizations or business entities for vocational training, professional rehabilitation and employment of disabled persons:  </w:t>
      </w:r>
    </w:p>
    <w:p w:rsidR="00C175BA" w:rsidRPr="001F263B" w:rsidRDefault="00C175BA" w:rsidP="00C175BA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175BA" w:rsidRPr="001F263B" w:rsidTr="00053898">
        <w:trPr>
          <w:trHeight w:val="608"/>
        </w:trPr>
        <w:tc>
          <w:tcPr>
            <w:tcW w:w="9243" w:type="dxa"/>
          </w:tcPr>
          <w:p w:rsidR="00C175BA" w:rsidRPr="001F263B" w:rsidRDefault="00C175BA" w:rsidP="000538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/</w:t>
            </w:r>
          </w:p>
        </w:tc>
      </w:tr>
    </w:tbl>
    <w:p w:rsidR="00C175BA" w:rsidRPr="001F263B" w:rsidRDefault="00C175BA" w:rsidP="00C175BA">
      <w:pPr>
        <w:rPr>
          <w:rFonts w:ascii="Arial" w:hAnsi="Arial" w:cs="Arial"/>
          <w:sz w:val="22"/>
        </w:rPr>
      </w:pPr>
    </w:p>
    <w:p w:rsidR="00C175BA" w:rsidRDefault="00C175BA" w:rsidP="00C175BA">
      <w:pPr>
        <w:rPr>
          <w:rFonts w:ascii="Arial" w:hAnsi="Arial" w:cs="Arial"/>
          <w:sz w:val="22"/>
        </w:rPr>
      </w:pPr>
      <w:r w:rsidRPr="001F263B">
        <w:rPr>
          <w:rFonts w:ascii="Arial" w:hAnsi="Arial" w:cs="Arial"/>
          <w:sz w:val="22"/>
        </w:rPr>
        <w:t xml:space="preserve">In the event of negotiation procedure, the reason for application and grounds from the law: </w:t>
      </w:r>
    </w:p>
    <w:p w:rsidR="00C175BA" w:rsidRDefault="00C175BA" w:rsidP="00C175BA">
      <w:pPr>
        <w:rPr>
          <w:rFonts w:ascii="Arial" w:hAnsi="Arial" w:cs="Arial"/>
          <w:sz w:val="22"/>
        </w:rPr>
      </w:pPr>
    </w:p>
    <w:p w:rsidR="00C175BA" w:rsidRPr="001F263B" w:rsidRDefault="00C175BA" w:rsidP="00C175BA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175BA" w:rsidRPr="001F263B" w:rsidTr="00053898">
        <w:trPr>
          <w:trHeight w:val="608"/>
        </w:trPr>
        <w:tc>
          <w:tcPr>
            <w:tcW w:w="9243" w:type="dxa"/>
          </w:tcPr>
          <w:p w:rsidR="00C175BA" w:rsidRPr="001F263B" w:rsidRDefault="00C175BA" w:rsidP="000538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/</w:t>
            </w:r>
          </w:p>
        </w:tc>
      </w:tr>
    </w:tbl>
    <w:p w:rsidR="00C175BA" w:rsidRPr="001F263B" w:rsidRDefault="00C175BA" w:rsidP="00C175BA">
      <w:pPr>
        <w:rPr>
          <w:rFonts w:ascii="Arial" w:hAnsi="Arial" w:cs="Arial"/>
          <w:sz w:val="22"/>
        </w:rPr>
      </w:pPr>
    </w:p>
    <w:p w:rsidR="00E35C7E" w:rsidRDefault="00E35C7E" w:rsidP="00E35C7E">
      <w:pPr>
        <w:rPr>
          <w:rFonts w:ascii="Arial" w:hAnsi="Arial" w:cs="Arial"/>
          <w:sz w:val="22"/>
        </w:rPr>
      </w:pPr>
      <w:r w:rsidRPr="001F263B">
        <w:rPr>
          <w:rFonts w:ascii="Arial" w:hAnsi="Arial" w:cs="Arial"/>
          <w:sz w:val="22"/>
        </w:rPr>
        <w:t xml:space="preserve">If framework agreement is concluded, validity period of framework agreement and number of Tenderers with whom the Employer concludes the framework agreement: </w:t>
      </w:r>
    </w:p>
    <w:p w:rsidR="00E35C7E" w:rsidRPr="001F263B" w:rsidRDefault="00E35C7E" w:rsidP="00E35C7E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35C7E" w:rsidRPr="001F263B" w:rsidTr="00053898">
        <w:trPr>
          <w:trHeight w:val="710"/>
        </w:trPr>
        <w:tc>
          <w:tcPr>
            <w:tcW w:w="9243" w:type="dxa"/>
          </w:tcPr>
          <w:p w:rsidR="00E35C7E" w:rsidRPr="001F263B" w:rsidRDefault="00A37653" w:rsidP="000538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/</w:t>
            </w:r>
            <w:r w:rsidR="0003450E" w:rsidRPr="0003450E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E35C7E" w:rsidRDefault="00E35C7E" w:rsidP="00E35C7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E35C7E" w:rsidRPr="001F263B" w:rsidRDefault="00E35C7E" w:rsidP="00E35C7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F263B">
        <w:rPr>
          <w:rFonts w:ascii="Arial" w:hAnsi="Arial" w:cs="Arial"/>
          <w:sz w:val="22"/>
        </w:rPr>
        <w:t>In the event of submission of e-Tender, application of e-bidding or system of dynamic procurement – basic data on information system of Employer and required technical conditions for participation is as follows:</w:t>
      </w:r>
    </w:p>
    <w:p w:rsidR="00E35C7E" w:rsidRPr="001F263B" w:rsidRDefault="00E35C7E" w:rsidP="00E35C7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35C7E" w:rsidRPr="001F263B" w:rsidTr="00053898">
        <w:trPr>
          <w:trHeight w:val="756"/>
        </w:trPr>
        <w:tc>
          <w:tcPr>
            <w:tcW w:w="9243" w:type="dxa"/>
          </w:tcPr>
          <w:p w:rsidR="00E35C7E" w:rsidRDefault="00E35C7E" w:rsidP="000538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/</w:t>
            </w:r>
          </w:p>
          <w:p w:rsidR="00E35C7E" w:rsidRPr="001F263B" w:rsidRDefault="00E35C7E" w:rsidP="00053898">
            <w:pPr>
              <w:rPr>
                <w:rFonts w:ascii="Arial" w:hAnsi="Arial" w:cs="Arial"/>
                <w:sz w:val="22"/>
              </w:rPr>
            </w:pPr>
          </w:p>
        </w:tc>
      </w:tr>
    </w:tbl>
    <w:p w:rsidR="00E35C7E" w:rsidRPr="001F263B" w:rsidRDefault="00E35C7E" w:rsidP="00E35C7E">
      <w:pPr>
        <w:rPr>
          <w:rFonts w:ascii="Arial" w:hAnsi="Arial" w:cs="Arial"/>
          <w:sz w:val="22"/>
        </w:rPr>
      </w:pPr>
    </w:p>
    <w:p w:rsidR="00E35C7E" w:rsidRPr="001F263B" w:rsidRDefault="00E35C7E" w:rsidP="00E35C7E">
      <w:pPr>
        <w:rPr>
          <w:rFonts w:ascii="Arial" w:hAnsi="Arial" w:cs="Arial"/>
          <w:sz w:val="22"/>
        </w:rPr>
      </w:pPr>
      <w:r w:rsidRPr="001F263B">
        <w:rPr>
          <w:rFonts w:ascii="Arial" w:hAnsi="Arial" w:cs="Arial"/>
          <w:sz w:val="22"/>
        </w:rPr>
        <w:t>In the event of application of the system of dynamic procurement validity of the system is as follows:</w:t>
      </w:r>
    </w:p>
    <w:p w:rsidR="00E35C7E" w:rsidRPr="001F263B" w:rsidRDefault="00E35C7E" w:rsidP="00E35C7E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35C7E" w:rsidRPr="001F263B" w:rsidTr="00053898">
        <w:trPr>
          <w:trHeight w:val="810"/>
        </w:trPr>
        <w:tc>
          <w:tcPr>
            <w:tcW w:w="9243" w:type="dxa"/>
          </w:tcPr>
          <w:p w:rsidR="00E35C7E" w:rsidRDefault="00E35C7E" w:rsidP="000538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/</w:t>
            </w:r>
          </w:p>
          <w:p w:rsidR="00E35C7E" w:rsidRPr="001F263B" w:rsidRDefault="00E35C7E" w:rsidP="00053898">
            <w:pPr>
              <w:rPr>
                <w:rFonts w:ascii="Arial" w:hAnsi="Arial" w:cs="Arial"/>
                <w:sz w:val="22"/>
              </w:rPr>
            </w:pPr>
          </w:p>
        </w:tc>
      </w:tr>
    </w:tbl>
    <w:p w:rsidR="00E35C7E" w:rsidRPr="001F263B" w:rsidRDefault="00E35C7E" w:rsidP="00E35C7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E35C7E" w:rsidRPr="001F263B" w:rsidRDefault="00E35C7E" w:rsidP="00E35C7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F263B">
        <w:rPr>
          <w:rFonts w:ascii="Arial" w:hAnsi="Arial" w:cs="Arial"/>
          <w:sz w:val="22"/>
        </w:rPr>
        <w:t>In the event of obligation to submit the Tender with subcontractor percentage of value of procurement that shall be executed by subcontractor is as follows:</w:t>
      </w:r>
    </w:p>
    <w:p w:rsidR="00E35C7E" w:rsidRPr="001F263B" w:rsidRDefault="00E35C7E" w:rsidP="00E35C7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35C7E" w:rsidRPr="001F263B" w:rsidTr="00053898">
        <w:trPr>
          <w:trHeight w:val="739"/>
        </w:trPr>
        <w:tc>
          <w:tcPr>
            <w:tcW w:w="9243" w:type="dxa"/>
          </w:tcPr>
          <w:p w:rsidR="005F1138" w:rsidRDefault="00A37653" w:rsidP="0005389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/</w:t>
            </w:r>
          </w:p>
          <w:p w:rsidR="00E35C7E" w:rsidRPr="001F263B" w:rsidRDefault="00E35C7E" w:rsidP="005F1138">
            <w:pPr>
              <w:rPr>
                <w:rFonts w:ascii="Arial" w:hAnsi="Arial" w:cs="Arial"/>
                <w:sz w:val="22"/>
              </w:rPr>
            </w:pPr>
          </w:p>
        </w:tc>
      </w:tr>
    </w:tbl>
    <w:p w:rsidR="00E35C7E" w:rsidRPr="001F263B" w:rsidRDefault="00E35C7E" w:rsidP="00E35C7E">
      <w:pPr>
        <w:rPr>
          <w:rFonts w:ascii="Arial" w:hAnsi="Arial" w:cs="Arial"/>
          <w:sz w:val="22"/>
        </w:rPr>
      </w:pPr>
    </w:p>
    <w:p w:rsidR="00E35C7E" w:rsidRPr="001F263B" w:rsidRDefault="00E35C7E" w:rsidP="00E35C7E">
      <w:pPr>
        <w:rPr>
          <w:rFonts w:ascii="Arial" w:hAnsi="Arial" w:cs="Arial"/>
          <w:sz w:val="22"/>
        </w:rPr>
      </w:pPr>
      <w:r w:rsidRPr="001F263B">
        <w:rPr>
          <w:rFonts w:ascii="Arial" w:hAnsi="Arial" w:cs="Arial"/>
          <w:sz w:val="22"/>
        </w:rPr>
        <w:t>Criteria, elements of the criteria for contract award:</w:t>
      </w:r>
    </w:p>
    <w:p w:rsidR="00E35C7E" w:rsidRPr="001F263B" w:rsidRDefault="00E35C7E" w:rsidP="00E35C7E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35C7E" w:rsidRPr="001F263B" w:rsidTr="00053898">
        <w:trPr>
          <w:trHeight w:val="770"/>
        </w:trPr>
        <w:tc>
          <w:tcPr>
            <w:tcW w:w="9243" w:type="dxa"/>
          </w:tcPr>
          <w:p w:rsidR="00E35C7E" w:rsidRPr="00C200F3" w:rsidRDefault="007E2B59" w:rsidP="00053898">
            <w:pPr>
              <w:rPr>
                <w:rFonts w:ascii="Arial" w:hAnsi="Arial" w:cs="Arial"/>
                <w:sz w:val="22"/>
              </w:rPr>
            </w:pPr>
            <w:r w:rsidRPr="00C200F3">
              <w:rPr>
                <w:rFonts w:ascii="Arial" w:hAnsi="Arial" w:cs="Arial"/>
                <w:sz w:val="22"/>
              </w:rPr>
              <w:t>economically most favorable tender</w:t>
            </w:r>
          </w:p>
          <w:p w:rsidR="00E35C7E" w:rsidRPr="00C200F3" w:rsidRDefault="0059212C" w:rsidP="00053898">
            <w:pPr>
              <w:rPr>
                <w:rFonts w:ascii="Arial" w:hAnsi="Arial" w:cs="Arial"/>
                <w:sz w:val="22"/>
              </w:rPr>
            </w:pPr>
            <w:r w:rsidRPr="00C200F3">
              <w:rPr>
                <w:rFonts w:ascii="Arial" w:hAnsi="Arial" w:cs="Arial"/>
                <w:sz w:val="22"/>
                <w:lang w:val="sr-Cyrl-RS"/>
              </w:rPr>
              <w:t>bid price 90 pond</w:t>
            </w:r>
            <w:r w:rsidRPr="00C200F3">
              <w:rPr>
                <w:rFonts w:ascii="Arial" w:hAnsi="Arial" w:cs="Arial"/>
                <w:sz w:val="22"/>
              </w:rPr>
              <w:t>ers</w:t>
            </w:r>
          </w:p>
          <w:p w:rsidR="0059212C" w:rsidRPr="0059212C" w:rsidRDefault="0059212C" w:rsidP="00053898">
            <w:pPr>
              <w:rPr>
                <w:rFonts w:ascii="Arial" w:hAnsi="Arial" w:cs="Arial"/>
                <w:sz w:val="22"/>
              </w:rPr>
            </w:pPr>
            <w:r w:rsidRPr="00C200F3">
              <w:rPr>
                <w:rFonts w:ascii="Arial" w:hAnsi="Arial" w:cs="Arial"/>
                <w:sz w:val="22"/>
              </w:rPr>
              <w:t>available functional code 10 ponders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:rsidR="00E35C7E" w:rsidRPr="001F263B" w:rsidRDefault="00E35C7E" w:rsidP="00E35C7E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E35C7E" w:rsidRPr="001F263B" w:rsidRDefault="00E35C7E" w:rsidP="00E35C7E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F263B">
        <w:rPr>
          <w:rFonts w:ascii="Arial" w:hAnsi="Arial" w:cs="Arial"/>
          <w:sz w:val="22"/>
        </w:rPr>
        <w:t>Manner of taking over Tender Documen</w:t>
      </w:r>
      <w:r>
        <w:rPr>
          <w:rFonts w:ascii="Arial" w:hAnsi="Arial" w:cs="Arial"/>
          <w:sz w:val="22"/>
        </w:rPr>
        <w:t>ts, i.e. web site where Tender D</w:t>
      </w:r>
      <w:r w:rsidRPr="001F263B">
        <w:rPr>
          <w:rFonts w:ascii="Arial" w:hAnsi="Arial" w:cs="Arial"/>
          <w:sz w:val="22"/>
        </w:rPr>
        <w:t>ocuments are available:</w:t>
      </w:r>
    </w:p>
    <w:p w:rsidR="00E35C7E" w:rsidRPr="001F263B" w:rsidRDefault="00E35C7E" w:rsidP="00E35C7E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E35C7E" w:rsidRPr="001F263B" w:rsidTr="00053898">
        <w:trPr>
          <w:trHeight w:val="689"/>
        </w:trPr>
        <w:tc>
          <w:tcPr>
            <w:tcW w:w="9243" w:type="dxa"/>
          </w:tcPr>
          <w:p w:rsidR="00E35C7E" w:rsidRPr="00544545" w:rsidRDefault="0003450E" w:rsidP="00544545">
            <w:pPr>
              <w:widowControl w:val="0"/>
              <w:rPr>
                <w:rFonts w:ascii="Arial" w:hAnsi="Arial" w:cs="Arial"/>
                <w:sz w:val="22"/>
              </w:rPr>
            </w:pPr>
            <w:r w:rsidRPr="00544545">
              <w:rPr>
                <w:rFonts w:ascii="Arial" w:hAnsi="Arial" w:cs="Arial"/>
                <w:sz w:val="22"/>
              </w:rPr>
              <w:t xml:space="preserve">Tender Documents can be </w:t>
            </w:r>
            <w:r w:rsidR="003B6CA6">
              <w:rPr>
                <w:rFonts w:ascii="Arial" w:hAnsi="Arial" w:cs="Arial"/>
                <w:sz w:val="22"/>
              </w:rPr>
              <w:t>downloaded</w:t>
            </w:r>
            <w:r w:rsidR="00A37653">
              <w:rPr>
                <w:rFonts w:ascii="Arial" w:hAnsi="Arial" w:cs="Arial"/>
                <w:sz w:val="22"/>
              </w:rPr>
              <w:t xml:space="preserve"> in e-form</w:t>
            </w:r>
            <w:r w:rsidRPr="00544545">
              <w:rPr>
                <w:rFonts w:ascii="Arial" w:hAnsi="Arial" w:cs="Arial"/>
                <w:sz w:val="22"/>
              </w:rPr>
              <w:t xml:space="preserve"> from </w:t>
            </w:r>
            <w:r w:rsidR="005723AA">
              <w:rPr>
                <w:rFonts w:ascii="Arial" w:hAnsi="Arial" w:cs="Arial"/>
                <w:sz w:val="22"/>
              </w:rPr>
              <w:t>the Portal of the</w:t>
            </w:r>
            <w:r w:rsidR="00E35C7E" w:rsidRPr="00544545">
              <w:rPr>
                <w:rFonts w:ascii="Arial" w:hAnsi="Arial" w:cs="Arial"/>
                <w:sz w:val="22"/>
              </w:rPr>
              <w:t xml:space="preserve"> Public Procurement Office: </w:t>
            </w:r>
            <w:r w:rsidR="00C8250E" w:rsidRPr="00544545">
              <w:rPr>
                <w:rFonts w:ascii="Arial" w:hAnsi="Arial" w:cs="Arial"/>
                <w:sz w:val="22"/>
              </w:rPr>
              <w:t>www.portal.ujn.gov.rs</w:t>
            </w:r>
            <w:r w:rsidRPr="00544545">
              <w:rPr>
                <w:rFonts w:ascii="Arial" w:hAnsi="Arial" w:cs="Arial"/>
                <w:sz w:val="22"/>
              </w:rPr>
              <w:t xml:space="preserve"> or web site of the Employer </w:t>
            </w:r>
            <w:hyperlink r:id="rId7" w:history="1">
              <w:r w:rsidR="00582B7E" w:rsidRPr="0068672E">
                <w:rPr>
                  <w:rStyle w:val="Hyperlink"/>
                  <w:rFonts w:ascii="Arial" w:hAnsi="Arial" w:cs="Arial"/>
                  <w:sz w:val="22"/>
                </w:rPr>
                <w:t>www.eps.rs</w:t>
              </w:r>
            </w:hyperlink>
            <w:r w:rsidRPr="00544545">
              <w:rPr>
                <w:rFonts w:ascii="Arial" w:hAnsi="Arial" w:cs="Arial"/>
                <w:sz w:val="22"/>
              </w:rPr>
              <w:t xml:space="preserve"> </w:t>
            </w:r>
          </w:p>
          <w:p w:rsidR="00E35C7E" w:rsidRPr="008D032E" w:rsidRDefault="00E35C7E" w:rsidP="00053898">
            <w:pPr>
              <w:rPr>
                <w:rFonts w:ascii="Arial" w:hAnsi="Arial" w:cs="Arial"/>
              </w:rPr>
            </w:pPr>
          </w:p>
        </w:tc>
      </w:tr>
    </w:tbl>
    <w:p w:rsidR="00C175BA" w:rsidRDefault="00C175BA" w:rsidP="00C175BA">
      <w:pPr>
        <w:rPr>
          <w:rFonts w:ascii="Arial" w:hAnsi="Arial" w:cs="Arial"/>
          <w:sz w:val="22"/>
        </w:rPr>
      </w:pPr>
    </w:p>
    <w:p w:rsidR="003A23A6" w:rsidRDefault="003A23A6" w:rsidP="00C175B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and internet address of the state body or organization, i.e. body or office of territorial autonomy or local self-government where correct data on tax obligations, environmental protection, engagement protection, work conditions can be obtained in timely manner are the following:</w:t>
      </w:r>
    </w:p>
    <w:p w:rsidR="003A23A6" w:rsidRDefault="003A23A6" w:rsidP="00C175BA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A23A6" w:rsidRPr="001F263B" w:rsidTr="00FA3E04">
        <w:trPr>
          <w:trHeight w:val="739"/>
        </w:trPr>
        <w:tc>
          <w:tcPr>
            <w:tcW w:w="9243" w:type="dxa"/>
          </w:tcPr>
          <w:p w:rsidR="003A23A6" w:rsidRDefault="00A37653" w:rsidP="0095754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/</w:t>
            </w:r>
          </w:p>
          <w:p w:rsidR="003A23A6" w:rsidRPr="001F263B" w:rsidRDefault="003A23A6" w:rsidP="00FA3E04">
            <w:pPr>
              <w:rPr>
                <w:rFonts w:ascii="Arial" w:hAnsi="Arial" w:cs="Arial"/>
                <w:sz w:val="22"/>
              </w:rPr>
            </w:pPr>
          </w:p>
        </w:tc>
      </w:tr>
    </w:tbl>
    <w:p w:rsidR="003A23A6" w:rsidRDefault="003A23A6" w:rsidP="003A23A6">
      <w:pPr>
        <w:rPr>
          <w:rFonts w:ascii="Arial" w:hAnsi="Arial" w:cs="Arial"/>
          <w:sz w:val="22"/>
        </w:rPr>
      </w:pPr>
    </w:p>
    <w:p w:rsidR="00C175BA" w:rsidRPr="001F263B" w:rsidRDefault="00C175BA" w:rsidP="00931E84">
      <w:pPr>
        <w:rPr>
          <w:rFonts w:ascii="Arial" w:hAnsi="Arial" w:cs="Arial"/>
          <w:sz w:val="22"/>
        </w:rPr>
      </w:pPr>
    </w:p>
    <w:p w:rsidR="00931E84" w:rsidRPr="001F263B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 w:rsidRPr="001F263B">
        <w:rPr>
          <w:rFonts w:ascii="Arial" w:hAnsi="Arial" w:cs="Arial"/>
          <w:sz w:val="22"/>
        </w:rPr>
        <w:t xml:space="preserve">The </w:t>
      </w:r>
      <w:r w:rsidR="005707E9">
        <w:rPr>
          <w:rFonts w:ascii="Arial" w:hAnsi="Arial" w:cs="Arial"/>
          <w:sz w:val="22"/>
        </w:rPr>
        <w:t>manner of T</w:t>
      </w:r>
      <w:r w:rsidRPr="001F263B">
        <w:rPr>
          <w:rFonts w:ascii="Arial" w:hAnsi="Arial" w:cs="Arial"/>
          <w:sz w:val="22"/>
        </w:rPr>
        <w:t>end</w:t>
      </w:r>
      <w:r w:rsidR="005707E9">
        <w:rPr>
          <w:rFonts w:ascii="Arial" w:hAnsi="Arial" w:cs="Arial"/>
          <w:sz w:val="22"/>
        </w:rPr>
        <w:t>er submission and deadline for T</w:t>
      </w:r>
      <w:r w:rsidRPr="001F263B">
        <w:rPr>
          <w:rFonts w:ascii="Arial" w:hAnsi="Arial" w:cs="Arial"/>
          <w:sz w:val="22"/>
        </w:rPr>
        <w:t>ender submission:</w:t>
      </w:r>
    </w:p>
    <w:p w:rsidR="00931E84" w:rsidRPr="001F263B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31E84" w:rsidRPr="001F263B" w:rsidTr="004A1544">
        <w:trPr>
          <w:trHeight w:val="1215"/>
        </w:trPr>
        <w:tc>
          <w:tcPr>
            <w:tcW w:w="9243" w:type="dxa"/>
          </w:tcPr>
          <w:p w:rsidR="007E2B59" w:rsidRDefault="004C7FF8" w:rsidP="0095754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Tender</w:t>
            </w:r>
            <w:r w:rsidR="00A37653">
              <w:rPr>
                <w:rFonts w:ascii="Arial" w:hAnsi="Arial" w:cs="Arial"/>
                <w:sz w:val="22"/>
              </w:rPr>
              <w:t xml:space="preserve">er shall submit tender </w:t>
            </w:r>
            <w:r w:rsidR="007E2B59">
              <w:rPr>
                <w:rFonts w:ascii="Arial" w:hAnsi="Arial" w:cs="Arial"/>
                <w:sz w:val="22"/>
              </w:rPr>
              <w:t xml:space="preserve">in person or via mail in a closed envelope or a box, closed </w:t>
            </w:r>
            <w:r>
              <w:rPr>
                <w:rFonts w:ascii="Arial" w:hAnsi="Arial" w:cs="Arial"/>
                <w:sz w:val="22"/>
              </w:rPr>
              <w:t>in a way that it can be determined with certainty that it is being opened for the first time</w:t>
            </w:r>
            <w:r w:rsidR="007E2B59">
              <w:rPr>
                <w:rFonts w:ascii="Arial" w:hAnsi="Arial" w:cs="Arial"/>
                <w:sz w:val="22"/>
              </w:rPr>
              <w:t xml:space="preserve">. </w:t>
            </w:r>
          </w:p>
          <w:p w:rsidR="007E2B59" w:rsidRDefault="007E2B59" w:rsidP="0095754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back of the envelope or the box shall include name and address of the tenderer.</w:t>
            </w:r>
          </w:p>
          <w:p w:rsidR="0003690E" w:rsidRDefault="00A028ED" w:rsidP="0003690E">
            <w:pPr>
              <w:pStyle w:val="BodyText"/>
              <w:ind w:right="317"/>
              <w:rPr>
                <w:rFonts w:ascii="Arial" w:hAnsi="Arial" w:cs="Arial"/>
                <w:sz w:val="22"/>
                <w:lang w:val="sr-Latn-RS"/>
              </w:rPr>
            </w:pPr>
            <w:r>
              <w:rPr>
                <w:rFonts w:ascii="Arial" w:hAnsi="Arial" w:cs="Arial"/>
                <w:sz w:val="22"/>
              </w:rPr>
              <w:t xml:space="preserve">In the case when </w:t>
            </w:r>
            <w:r w:rsidR="007E2B59">
              <w:rPr>
                <w:rFonts w:ascii="Arial" w:hAnsi="Arial" w:cs="Arial"/>
                <w:sz w:val="22"/>
              </w:rPr>
              <w:t xml:space="preserve">the tender is submitted by the group of tenderers, it should be </w:t>
            </w:r>
            <w:r>
              <w:rPr>
                <w:rFonts w:ascii="Arial" w:hAnsi="Arial" w:cs="Arial"/>
                <w:sz w:val="22"/>
                <w:lang w:val="sr-Latn-RS"/>
              </w:rPr>
              <w:t>stated</w:t>
            </w:r>
            <w:r w:rsidR="007E2B59">
              <w:rPr>
                <w:rFonts w:ascii="Arial" w:hAnsi="Arial" w:cs="Arial"/>
                <w:sz w:val="22"/>
              </w:rPr>
              <w:t xml:space="preserve"> on the envelope that it is the case of the group of tenderers and names and addresses of all participants in the joint tender</w:t>
            </w:r>
            <w:r>
              <w:rPr>
                <w:rFonts w:ascii="Arial" w:hAnsi="Arial" w:cs="Arial"/>
                <w:sz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should be </w:t>
            </w:r>
            <w:r>
              <w:rPr>
                <w:rFonts w:ascii="Arial" w:hAnsi="Arial" w:cs="Arial"/>
                <w:sz w:val="22"/>
                <w:lang w:val="sr-Latn-RS"/>
              </w:rPr>
              <w:t>stated</w:t>
            </w:r>
            <w:r w:rsidR="007E2B59">
              <w:rPr>
                <w:rFonts w:ascii="Arial" w:hAnsi="Arial" w:cs="Arial"/>
                <w:sz w:val="22"/>
              </w:rPr>
              <w:t xml:space="preserve">. Tender shall be submitted to the </w:t>
            </w:r>
            <w:r w:rsidR="00A37653">
              <w:rPr>
                <w:rFonts w:ascii="Arial" w:hAnsi="Arial" w:cs="Arial"/>
                <w:sz w:val="22"/>
              </w:rPr>
              <w:t xml:space="preserve">following address: </w:t>
            </w:r>
            <w:r w:rsidR="004C7FF8">
              <w:rPr>
                <w:rFonts w:ascii="Arial" w:hAnsi="Arial" w:cs="Arial"/>
                <w:sz w:val="22"/>
              </w:rPr>
              <w:t xml:space="preserve"> </w:t>
            </w:r>
            <w:r w:rsidR="00A37653">
              <w:rPr>
                <w:rFonts w:ascii="Arial" w:hAnsi="Arial" w:cs="Arial"/>
                <w:sz w:val="22"/>
              </w:rPr>
              <w:t>Javno preduzeće Elektroprivreda Srbije</w:t>
            </w:r>
            <w:r w:rsidR="007E2B59">
              <w:rPr>
                <w:rFonts w:ascii="Arial" w:hAnsi="Arial" w:cs="Arial"/>
                <w:sz w:val="22"/>
              </w:rPr>
              <w:t>, Beograd</w:t>
            </w:r>
            <w:r w:rsidR="00A37653">
              <w:rPr>
                <w:rFonts w:ascii="Arial" w:hAnsi="Arial" w:cs="Arial"/>
                <w:sz w:val="22"/>
              </w:rPr>
              <w:t xml:space="preserve">, </w:t>
            </w:r>
            <w:r w:rsidR="007E2B59" w:rsidRPr="007E2B59">
              <w:rPr>
                <w:rFonts w:ascii="Arial" w:hAnsi="Arial" w:cs="Arial"/>
                <w:sz w:val="22"/>
              </w:rPr>
              <w:t>Balkanska 13</w:t>
            </w:r>
            <w:r w:rsidR="007E2B59">
              <w:rPr>
                <w:rFonts w:ascii="Arial" w:hAnsi="Arial" w:cs="Arial"/>
                <w:sz w:val="22"/>
              </w:rPr>
              <w:t xml:space="preserve">, </w:t>
            </w:r>
            <w:r w:rsidR="00A37653">
              <w:rPr>
                <w:rFonts w:ascii="Arial" w:hAnsi="Arial" w:cs="Arial"/>
                <w:sz w:val="22"/>
              </w:rPr>
              <w:lastRenderedPageBreak/>
              <w:t>11000 Beograd, ground floor records office, labelled with</w:t>
            </w:r>
            <w:r w:rsidR="00054BCB">
              <w:rPr>
                <w:rFonts w:ascii="Arial" w:hAnsi="Arial" w:cs="Arial"/>
                <w:sz w:val="22"/>
              </w:rPr>
              <w:t>:</w:t>
            </w:r>
            <w:r w:rsidR="0003690E">
              <w:rPr>
                <w:rFonts w:ascii="Arial" w:hAnsi="Arial" w:cs="Arial"/>
                <w:sz w:val="22"/>
              </w:rPr>
              <w:t xml:space="preserve"> Tender for the public procurement: </w:t>
            </w:r>
            <w:r w:rsidR="0003690E" w:rsidRPr="007E2B59">
              <w:rPr>
                <w:rFonts w:ascii="Arial" w:hAnsi="Arial" w:cs="Arial"/>
                <w:i/>
                <w:sz w:val="22"/>
                <w:lang w:val="en-US"/>
              </w:rPr>
              <w:t>Services for implementation of information s</w:t>
            </w:r>
            <w:r w:rsidR="0003690E" w:rsidRPr="007E2B59">
              <w:rPr>
                <w:rFonts w:ascii="Arial" w:hAnsi="Arial" w:cs="Arial"/>
                <w:i/>
                <w:sz w:val="22"/>
                <w:lang w:val="sr-Latn-RS"/>
              </w:rPr>
              <w:t>ystem for consolidated calculation and electricity collection</w:t>
            </w:r>
            <w:r w:rsidR="0003690E">
              <w:rPr>
                <w:rFonts w:ascii="Arial" w:hAnsi="Arial" w:cs="Arial"/>
                <w:i/>
                <w:sz w:val="22"/>
                <w:lang w:val="sr-Latn-RS"/>
              </w:rPr>
              <w:t xml:space="preserve"> </w:t>
            </w:r>
            <w:r w:rsidR="0003690E">
              <w:rPr>
                <w:rFonts w:ascii="Arial" w:hAnsi="Arial" w:cs="Arial"/>
                <w:sz w:val="22"/>
                <w:lang w:val="sr-Latn-RS"/>
              </w:rPr>
              <w:t>PP/1000/0213/2016</w:t>
            </w:r>
          </w:p>
          <w:p w:rsidR="00957546" w:rsidRPr="00957546" w:rsidRDefault="00054BCB" w:rsidP="0095754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</w:rPr>
            </w:pPr>
            <w:r>
              <w:t xml:space="preserve"> </w:t>
            </w:r>
            <w:r w:rsidR="00A028ED">
              <w:t xml:space="preserve"> </w:t>
            </w:r>
          </w:p>
          <w:p w:rsidR="00957546" w:rsidRPr="00957546" w:rsidRDefault="00957546" w:rsidP="0095754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2"/>
              </w:rPr>
            </w:pPr>
          </w:p>
          <w:p w:rsidR="00877131" w:rsidRPr="001F263B" w:rsidRDefault="0003690E" w:rsidP="005723A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Tender shall be deemed timely if received by the Employer until 02.01.2017 until 12:30</w:t>
            </w:r>
            <w:r w:rsidR="00957546" w:rsidRPr="00957546"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931E84" w:rsidRPr="001F263B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931E84" w:rsidRPr="001F263B" w:rsidRDefault="00A7656C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Place, time and manner of T</w:t>
      </w:r>
      <w:r w:rsidR="00931E84" w:rsidRPr="001F263B">
        <w:rPr>
          <w:rFonts w:ascii="Arial" w:hAnsi="Arial" w:cs="Arial"/>
          <w:sz w:val="22"/>
        </w:rPr>
        <w:t>ender opening:</w:t>
      </w:r>
    </w:p>
    <w:p w:rsidR="00931E84" w:rsidRPr="001F263B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31E84" w:rsidRPr="001F263B" w:rsidTr="004A1544">
        <w:trPr>
          <w:trHeight w:val="850"/>
        </w:trPr>
        <w:tc>
          <w:tcPr>
            <w:tcW w:w="9243" w:type="dxa"/>
          </w:tcPr>
          <w:p w:rsidR="00931E84" w:rsidRDefault="00054BCB" w:rsidP="004C7FF8">
            <w:pPr>
              <w:rPr>
                <w:rFonts w:ascii="Arial" w:eastAsia="Calibri" w:hAnsi="Arial" w:cs="Arial"/>
                <w:sz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lang w:val="en-GB"/>
              </w:rPr>
              <w:t xml:space="preserve">Public Procurement Committee shall open timely submitted tenders publicly on </w:t>
            </w:r>
            <w:r w:rsidR="0003690E" w:rsidRPr="0003690E">
              <w:rPr>
                <w:rFonts w:ascii="Arial" w:eastAsia="Calibri" w:hAnsi="Arial" w:cs="Arial"/>
                <w:sz w:val="22"/>
                <w:lang w:val="en-GB"/>
              </w:rPr>
              <w:t xml:space="preserve">02.01.2017 </w:t>
            </w:r>
            <w:r w:rsidR="00957546">
              <w:rPr>
                <w:rFonts w:ascii="Arial" w:eastAsia="Calibri" w:hAnsi="Arial" w:cs="Arial"/>
                <w:sz w:val="22"/>
                <w:lang w:val="en-GB"/>
              </w:rPr>
              <w:t>at</w:t>
            </w:r>
            <w:r>
              <w:rPr>
                <w:rFonts w:ascii="Arial" w:eastAsia="Calibri" w:hAnsi="Arial" w:cs="Arial"/>
                <w:sz w:val="22"/>
                <w:lang w:val="en-GB"/>
              </w:rPr>
              <w:t xml:space="preserve"> 1 p.m.</w:t>
            </w:r>
            <w:r w:rsidR="003A23A6" w:rsidRPr="003A23A6">
              <w:rPr>
                <w:rFonts w:ascii="Arial" w:eastAsia="Calibri" w:hAnsi="Arial" w:cs="Arial"/>
                <w:sz w:val="22"/>
                <w:lang w:val="en-GB"/>
              </w:rPr>
              <w:t>,</w:t>
            </w:r>
            <w:r w:rsidR="004C7FF8">
              <w:rPr>
                <w:rFonts w:ascii="Arial" w:eastAsia="Calibri" w:hAnsi="Arial" w:cs="Arial"/>
                <w:sz w:val="22"/>
                <w:lang w:val="en-GB"/>
              </w:rPr>
              <w:t xml:space="preserve"> at the premises of Javno preduzeće Elektroprivreda Srbije Beograd, </w:t>
            </w:r>
            <w:r w:rsidR="0003690E">
              <w:rPr>
                <w:rFonts w:ascii="Arial" w:hAnsi="Arial" w:cs="Arial"/>
                <w:sz w:val="22"/>
              </w:rPr>
              <w:t>Balkanska 13</w:t>
            </w:r>
            <w:r w:rsidR="003A23A6" w:rsidRPr="003A23A6">
              <w:rPr>
                <w:rFonts w:ascii="Arial" w:eastAsia="Calibri" w:hAnsi="Arial" w:cs="Arial"/>
                <w:sz w:val="22"/>
                <w:lang w:val="en-GB"/>
              </w:rPr>
              <w:t>.</w:t>
            </w:r>
          </w:p>
          <w:p w:rsidR="00B13674" w:rsidRPr="001F263B" w:rsidRDefault="00B13674" w:rsidP="004C7FF8">
            <w:pPr>
              <w:rPr>
                <w:rFonts w:ascii="Arial" w:hAnsi="Arial" w:cs="Arial"/>
                <w:sz w:val="22"/>
              </w:rPr>
            </w:pPr>
          </w:p>
        </w:tc>
      </w:tr>
    </w:tbl>
    <w:p w:rsidR="00931E84" w:rsidRPr="001F263B" w:rsidRDefault="00931E84" w:rsidP="00931E84">
      <w:pPr>
        <w:autoSpaceDE w:val="0"/>
        <w:autoSpaceDN w:val="0"/>
        <w:adjustRightInd w:val="0"/>
        <w:jc w:val="left"/>
        <w:rPr>
          <w:rFonts w:ascii="Arial" w:hAnsi="Arial" w:cs="Arial"/>
          <w:sz w:val="22"/>
        </w:rPr>
      </w:pPr>
    </w:p>
    <w:p w:rsidR="00931E84" w:rsidRPr="001F263B" w:rsidRDefault="00931E84" w:rsidP="00931E84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1F263B">
        <w:rPr>
          <w:rFonts w:ascii="Arial" w:hAnsi="Arial" w:cs="Arial"/>
          <w:sz w:val="22"/>
        </w:rPr>
        <w:t>Conditions under which Tenderer’s representatives may par</w:t>
      </w:r>
      <w:r w:rsidR="00DD5A47">
        <w:rPr>
          <w:rFonts w:ascii="Arial" w:hAnsi="Arial" w:cs="Arial"/>
          <w:sz w:val="22"/>
        </w:rPr>
        <w:t>ticipate in T</w:t>
      </w:r>
      <w:r w:rsidRPr="001F263B">
        <w:rPr>
          <w:rFonts w:ascii="Arial" w:hAnsi="Arial" w:cs="Arial"/>
          <w:sz w:val="22"/>
        </w:rPr>
        <w:t>ender opening procedure:</w:t>
      </w:r>
    </w:p>
    <w:p w:rsidR="00931E84" w:rsidRPr="001F263B" w:rsidRDefault="00931E84" w:rsidP="00931E84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931E84" w:rsidRPr="001F263B" w:rsidTr="004A1544">
        <w:trPr>
          <w:trHeight w:val="963"/>
        </w:trPr>
        <w:tc>
          <w:tcPr>
            <w:tcW w:w="9243" w:type="dxa"/>
          </w:tcPr>
          <w:p w:rsidR="00DE10BD" w:rsidRPr="001F263B" w:rsidRDefault="002D17B4" w:rsidP="0003690E">
            <w:pPr>
              <w:rPr>
                <w:rFonts w:ascii="Arial" w:hAnsi="Arial" w:cs="Arial"/>
                <w:sz w:val="22"/>
              </w:rPr>
            </w:pPr>
            <w:r w:rsidRPr="002D17B4">
              <w:rPr>
                <w:rFonts w:ascii="Arial" w:eastAsia="Calibri" w:hAnsi="Arial" w:cs="Arial"/>
                <w:sz w:val="22"/>
                <w:lang w:val="en-GB"/>
              </w:rPr>
              <w:t>Tenderers’ representatives that take part in the public tender opening procedure shall prior to the public tender opening procedure submit a power of attorney in writing for the participation in this procedure</w:t>
            </w:r>
            <w:r w:rsidR="0003690E">
              <w:rPr>
                <w:rFonts w:ascii="Arial" w:eastAsia="Calibri" w:hAnsi="Arial" w:cs="Arial"/>
                <w:sz w:val="22"/>
                <w:lang w:val="en-GB"/>
              </w:rPr>
              <w:t xml:space="preserve"> (and not just power of attorney for presence) </w:t>
            </w:r>
            <w:r w:rsidRPr="002D17B4">
              <w:rPr>
                <w:rFonts w:ascii="Arial" w:eastAsia="Calibri" w:hAnsi="Arial" w:cs="Arial"/>
                <w:sz w:val="22"/>
                <w:lang w:val="en-GB"/>
              </w:rPr>
              <w:t>to the Public Procurement Committee</w:t>
            </w:r>
            <w:r w:rsidR="0003690E">
              <w:rPr>
                <w:rFonts w:ascii="Arial" w:eastAsia="Calibri" w:hAnsi="Arial" w:cs="Arial"/>
                <w:sz w:val="22"/>
                <w:lang w:val="en-GB"/>
              </w:rPr>
              <w:t>,</w:t>
            </w:r>
            <w:r w:rsidR="00C822B9">
              <w:rPr>
                <w:rFonts w:ascii="Arial" w:eastAsia="Calibri" w:hAnsi="Arial" w:cs="Arial"/>
                <w:sz w:val="22"/>
                <w:lang w:val="en-GB"/>
              </w:rPr>
              <w:t xml:space="preserve"> </w:t>
            </w:r>
            <w:r w:rsidRPr="002D17B4">
              <w:rPr>
                <w:rFonts w:ascii="Arial" w:eastAsia="Calibri" w:hAnsi="Arial" w:cs="Arial"/>
                <w:sz w:val="22"/>
                <w:lang w:val="en-GB"/>
              </w:rPr>
              <w:t xml:space="preserve">issued on the Tenderer’s letterhead, </w:t>
            </w:r>
            <w:r w:rsidR="00C822B9">
              <w:rPr>
                <w:rFonts w:ascii="Arial" w:eastAsia="Calibri" w:hAnsi="Arial" w:cs="Arial"/>
                <w:sz w:val="22"/>
                <w:lang w:val="en-GB"/>
              </w:rPr>
              <w:t xml:space="preserve">filed, </w:t>
            </w:r>
            <w:r w:rsidRPr="002D17B4">
              <w:rPr>
                <w:rFonts w:ascii="Arial" w:eastAsia="Calibri" w:hAnsi="Arial" w:cs="Arial"/>
                <w:sz w:val="22"/>
                <w:lang w:val="en-GB"/>
              </w:rPr>
              <w:t xml:space="preserve">sealed and signed by the </w:t>
            </w:r>
            <w:r w:rsidR="0003690E">
              <w:rPr>
                <w:rFonts w:ascii="Arial" w:eastAsia="Calibri" w:hAnsi="Arial" w:cs="Arial"/>
                <w:sz w:val="22"/>
                <w:lang w:val="en-GB"/>
              </w:rPr>
              <w:t>authorized person of the tenderer</w:t>
            </w:r>
            <w:r w:rsidR="00C822B9">
              <w:rPr>
                <w:rFonts w:ascii="Arial" w:eastAsia="Calibri" w:hAnsi="Arial" w:cs="Arial"/>
                <w:sz w:val="22"/>
                <w:lang w:val="en-GB"/>
              </w:rPr>
              <w:t>.</w:t>
            </w:r>
          </w:p>
        </w:tc>
      </w:tr>
    </w:tbl>
    <w:p w:rsidR="00931E84" w:rsidRPr="001F263B" w:rsidRDefault="00931E84" w:rsidP="00931E84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4653"/>
      </w:tblGrid>
      <w:tr w:rsidR="00DD5A47" w:rsidRPr="001F263B" w:rsidTr="004A1544">
        <w:trPr>
          <w:trHeight w:val="437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:rsidR="00931E84" w:rsidRPr="001F263B" w:rsidRDefault="00931E84" w:rsidP="00CF24CD">
            <w:pPr>
              <w:rPr>
                <w:rFonts w:ascii="Arial" w:hAnsi="Arial" w:cs="Arial"/>
                <w:sz w:val="22"/>
              </w:rPr>
            </w:pPr>
            <w:r w:rsidRPr="001F263B">
              <w:rPr>
                <w:rFonts w:ascii="Arial" w:hAnsi="Arial" w:cs="Arial"/>
                <w:sz w:val="22"/>
              </w:rPr>
              <w:t xml:space="preserve">Deadline for </w:t>
            </w:r>
            <w:r w:rsidR="00CF24CD" w:rsidRPr="001F263B">
              <w:rPr>
                <w:rFonts w:ascii="Arial" w:hAnsi="Arial" w:cs="Arial"/>
                <w:sz w:val="22"/>
              </w:rPr>
              <w:t xml:space="preserve">the adoption of decision </w:t>
            </w:r>
            <w:r w:rsidRPr="001F263B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740" w:type="dxa"/>
          </w:tcPr>
          <w:p w:rsidR="00931E84" w:rsidRPr="001F263B" w:rsidRDefault="00C822B9" w:rsidP="009D6F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 days as of the day of tender opening</w:t>
            </w:r>
          </w:p>
        </w:tc>
      </w:tr>
      <w:tr w:rsidR="00DD5A47" w:rsidRPr="008D5359" w:rsidTr="004A1544">
        <w:trPr>
          <w:trHeight w:val="570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:rsidR="00931E84" w:rsidRPr="00DD5A47" w:rsidRDefault="00931E84" w:rsidP="004A1544">
            <w:pPr>
              <w:jc w:val="left"/>
              <w:rPr>
                <w:rFonts w:ascii="Arial" w:hAnsi="Arial" w:cs="Arial"/>
                <w:sz w:val="22"/>
              </w:rPr>
            </w:pPr>
            <w:r w:rsidRPr="00DD5A47">
              <w:rPr>
                <w:rFonts w:ascii="Arial" w:hAnsi="Arial" w:cs="Arial"/>
                <w:sz w:val="22"/>
              </w:rPr>
              <w:t xml:space="preserve">Contact person:                          </w:t>
            </w:r>
          </w:p>
        </w:tc>
        <w:tc>
          <w:tcPr>
            <w:tcW w:w="4740" w:type="dxa"/>
          </w:tcPr>
          <w:p w:rsidR="00602B85" w:rsidRDefault="0003690E" w:rsidP="003A23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Miloš Žarković-milos.zarkovic@eps.rs</w:t>
            </w:r>
          </w:p>
          <w:p w:rsidR="0003690E" w:rsidRDefault="0003690E" w:rsidP="003A23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Nina Nikolajević-nina.nikolajevic@eps.rs</w:t>
            </w:r>
          </w:p>
          <w:p w:rsidR="002D17B4" w:rsidRDefault="00C822B9" w:rsidP="003A23A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 w:rsidR="0082582D">
              <w:rPr>
                <w:rFonts w:ascii="Arial" w:hAnsi="Arial" w:cs="Arial"/>
                <w:sz w:val="22"/>
              </w:rPr>
              <w:t xml:space="preserve"> </w:t>
            </w:r>
          </w:p>
          <w:p w:rsidR="00DD5A47" w:rsidRPr="008D5359" w:rsidRDefault="00DD5A47" w:rsidP="00602B85">
            <w:pPr>
              <w:rPr>
                <w:rFonts w:ascii="Arial" w:hAnsi="Arial" w:cs="Arial"/>
                <w:sz w:val="22"/>
                <w:lang w:val="fr-FR"/>
              </w:rPr>
            </w:pPr>
          </w:p>
        </w:tc>
      </w:tr>
    </w:tbl>
    <w:p w:rsidR="00714857" w:rsidRDefault="00714857" w:rsidP="00660458">
      <w:pPr>
        <w:rPr>
          <w:rFonts w:ascii="Arial" w:hAnsi="Arial" w:cs="Arial"/>
          <w:sz w:val="22"/>
          <w:lang w:val="fr-FR"/>
        </w:rPr>
      </w:pPr>
    </w:p>
    <w:p w:rsidR="008D5359" w:rsidRPr="001F263B" w:rsidRDefault="008D5359" w:rsidP="008D5359">
      <w:pPr>
        <w:rPr>
          <w:rFonts w:ascii="Arial" w:hAnsi="Arial" w:cs="Arial"/>
          <w:sz w:val="22"/>
        </w:rPr>
      </w:pPr>
      <w:r w:rsidRPr="001F263B">
        <w:rPr>
          <w:rFonts w:ascii="Arial" w:hAnsi="Arial" w:cs="Arial"/>
          <w:sz w:val="22"/>
        </w:rPr>
        <w:t>Other information:</w:t>
      </w:r>
    </w:p>
    <w:p w:rsidR="008D5359" w:rsidRPr="001F263B" w:rsidRDefault="008D5359" w:rsidP="008D5359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D5359" w:rsidRPr="001F263B" w:rsidTr="00053898">
        <w:trPr>
          <w:trHeight w:val="608"/>
        </w:trPr>
        <w:tc>
          <w:tcPr>
            <w:tcW w:w="9243" w:type="dxa"/>
          </w:tcPr>
          <w:p w:rsidR="008D5359" w:rsidRDefault="00C200F3" w:rsidP="00C200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/</w:t>
            </w:r>
            <w:bookmarkStart w:id="0" w:name="_GoBack"/>
            <w:bookmarkEnd w:id="0"/>
          </w:p>
          <w:p w:rsidR="0082582D" w:rsidRDefault="0082582D" w:rsidP="008D5359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</w:t>
            </w:r>
          </w:p>
          <w:p w:rsidR="0082582D" w:rsidRDefault="0082582D" w:rsidP="008D5359">
            <w:pPr>
              <w:jc w:val="center"/>
              <w:rPr>
                <w:rFonts w:ascii="Arial" w:hAnsi="Arial" w:cs="Arial"/>
                <w:sz w:val="22"/>
              </w:rPr>
            </w:pPr>
          </w:p>
          <w:p w:rsidR="0082582D" w:rsidRDefault="0082582D" w:rsidP="008D5359">
            <w:pPr>
              <w:jc w:val="center"/>
              <w:rPr>
                <w:rFonts w:ascii="Arial" w:hAnsi="Arial" w:cs="Arial"/>
                <w:sz w:val="22"/>
              </w:rPr>
            </w:pPr>
          </w:p>
          <w:p w:rsidR="0082582D" w:rsidRDefault="0082582D" w:rsidP="008D5359">
            <w:pPr>
              <w:jc w:val="center"/>
              <w:rPr>
                <w:rFonts w:ascii="Arial" w:hAnsi="Arial" w:cs="Arial"/>
                <w:sz w:val="22"/>
              </w:rPr>
            </w:pPr>
          </w:p>
          <w:p w:rsidR="0082582D" w:rsidRDefault="0082582D" w:rsidP="008D5359">
            <w:pPr>
              <w:jc w:val="center"/>
              <w:rPr>
                <w:rFonts w:ascii="Arial" w:hAnsi="Arial" w:cs="Arial"/>
                <w:sz w:val="22"/>
              </w:rPr>
            </w:pPr>
          </w:p>
          <w:p w:rsidR="0082582D" w:rsidRPr="001F263B" w:rsidRDefault="0082582D" w:rsidP="008D535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D5359" w:rsidRPr="008D5359" w:rsidRDefault="008D5359" w:rsidP="0082582D">
      <w:pPr>
        <w:rPr>
          <w:rFonts w:ascii="Arial" w:hAnsi="Arial" w:cs="Arial"/>
          <w:sz w:val="22"/>
          <w:lang w:val="fr-FR"/>
        </w:rPr>
      </w:pPr>
    </w:p>
    <w:sectPr w:rsidR="008D5359" w:rsidRPr="008D5359" w:rsidSect="00235730">
      <w:pgSz w:w="11907" w:h="16839" w:code="9"/>
      <w:pgMar w:top="993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3D8" w:rsidRDefault="002B23D8" w:rsidP="00235730">
      <w:r>
        <w:separator/>
      </w:r>
    </w:p>
  </w:endnote>
  <w:endnote w:type="continuationSeparator" w:id="0">
    <w:p w:rsidR="002B23D8" w:rsidRDefault="002B23D8" w:rsidP="0023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3D8" w:rsidRDefault="002B23D8" w:rsidP="00235730">
      <w:r>
        <w:separator/>
      </w:r>
    </w:p>
  </w:footnote>
  <w:footnote w:type="continuationSeparator" w:id="0">
    <w:p w:rsidR="002B23D8" w:rsidRDefault="002B23D8" w:rsidP="0023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0838"/>
    <w:multiLevelType w:val="hybridMultilevel"/>
    <w:tmpl w:val="1434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F3A60"/>
    <w:multiLevelType w:val="hybridMultilevel"/>
    <w:tmpl w:val="9924856C"/>
    <w:lvl w:ilvl="0" w:tplc="1D500F62">
      <w:start w:val="1"/>
      <w:numFmt w:val="decimal"/>
      <w:lvlText w:val="K%1."/>
      <w:lvlJc w:val="lef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F8567A2"/>
    <w:multiLevelType w:val="multilevel"/>
    <w:tmpl w:val="C4C0A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7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4561D3"/>
    <w:multiLevelType w:val="hybridMultilevel"/>
    <w:tmpl w:val="585E8E84"/>
    <w:lvl w:ilvl="0" w:tplc="F6C6B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56C6E"/>
    <w:multiLevelType w:val="hybridMultilevel"/>
    <w:tmpl w:val="D1C2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36A72"/>
    <w:multiLevelType w:val="multilevel"/>
    <w:tmpl w:val="5D4EE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6" w15:restartNumberingAfterBreak="0">
    <w:nsid w:val="3DAC2BEF"/>
    <w:multiLevelType w:val="hybridMultilevel"/>
    <w:tmpl w:val="4FA25A34"/>
    <w:lvl w:ilvl="0" w:tplc="08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E1E87"/>
    <w:multiLevelType w:val="hybridMultilevel"/>
    <w:tmpl w:val="19924D2A"/>
    <w:lvl w:ilvl="0" w:tplc="EC1C8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D505E8A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D6A8F"/>
    <w:multiLevelType w:val="hybridMultilevel"/>
    <w:tmpl w:val="C0843400"/>
    <w:lvl w:ilvl="0" w:tplc="F6C6B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151DE"/>
    <w:multiLevelType w:val="hybridMultilevel"/>
    <w:tmpl w:val="DB3882E8"/>
    <w:lvl w:ilvl="0" w:tplc="6BE83D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62D9F"/>
    <w:multiLevelType w:val="multilevel"/>
    <w:tmpl w:val="97181054"/>
    <w:lvl w:ilvl="0">
      <w:start w:val="1"/>
      <w:numFmt w:val="decimal"/>
      <w:lvlText w:val="C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B8F6405"/>
    <w:multiLevelType w:val="hybridMultilevel"/>
    <w:tmpl w:val="9D44B81E"/>
    <w:lvl w:ilvl="0" w:tplc="08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30"/>
    <w:rsid w:val="00004129"/>
    <w:rsid w:val="0003450E"/>
    <w:rsid w:val="0003690E"/>
    <w:rsid w:val="00047FA0"/>
    <w:rsid w:val="00054BCB"/>
    <w:rsid w:val="00055254"/>
    <w:rsid w:val="000878AD"/>
    <w:rsid w:val="0009467F"/>
    <w:rsid w:val="000B23FD"/>
    <w:rsid w:val="000C35B6"/>
    <w:rsid w:val="000E1C8E"/>
    <w:rsid w:val="000E61AB"/>
    <w:rsid w:val="000F1F5D"/>
    <w:rsid w:val="00117C13"/>
    <w:rsid w:val="0013488E"/>
    <w:rsid w:val="00134BE5"/>
    <w:rsid w:val="00143988"/>
    <w:rsid w:val="00156E08"/>
    <w:rsid w:val="0015700C"/>
    <w:rsid w:val="001831F2"/>
    <w:rsid w:val="001A1392"/>
    <w:rsid w:val="001A1E85"/>
    <w:rsid w:val="001C3B55"/>
    <w:rsid w:val="001E0C6E"/>
    <w:rsid w:val="001E182D"/>
    <w:rsid w:val="001F263B"/>
    <w:rsid w:val="0020679E"/>
    <w:rsid w:val="00210E2E"/>
    <w:rsid w:val="00211223"/>
    <w:rsid w:val="00214E1E"/>
    <w:rsid w:val="0022797A"/>
    <w:rsid w:val="002355F3"/>
    <w:rsid w:val="00235730"/>
    <w:rsid w:val="00257B66"/>
    <w:rsid w:val="00261295"/>
    <w:rsid w:val="0027311C"/>
    <w:rsid w:val="002A045F"/>
    <w:rsid w:val="002A1EA4"/>
    <w:rsid w:val="002A5971"/>
    <w:rsid w:val="002A76E7"/>
    <w:rsid w:val="002B23D8"/>
    <w:rsid w:val="002B62DA"/>
    <w:rsid w:val="002C2C2F"/>
    <w:rsid w:val="002C2C39"/>
    <w:rsid w:val="002D17B4"/>
    <w:rsid w:val="002E213B"/>
    <w:rsid w:val="002F4661"/>
    <w:rsid w:val="003066A9"/>
    <w:rsid w:val="003242BC"/>
    <w:rsid w:val="003266AC"/>
    <w:rsid w:val="00330334"/>
    <w:rsid w:val="00352A5D"/>
    <w:rsid w:val="00357F64"/>
    <w:rsid w:val="00371336"/>
    <w:rsid w:val="003A23A6"/>
    <w:rsid w:val="003A25C0"/>
    <w:rsid w:val="003A2D47"/>
    <w:rsid w:val="003A50C7"/>
    <w:rsid w:val="003B27B0"/>
    <w:rsid w:val="003B6CA6"/>
    <w:rsid w:val="003C1AE4"/>
    <w:rsid w:val="003C62D6"/>
    <w:rsid w:val="003F2D96"/>
    <w:rsid w:val="00417629"/>
    <w:rsid w:val="0043364B"/>
    <w:rsid w:val="00477CB2"/>
    <w:rsid w:val="00495636"/>
    <w:rsid w:val="004C10DC"/>
    <w:rsid w:val="004C3F93"/>
    <w:rsid w:val="004C7FF8"/>
    <w:rsid w:val="004E04C1"/>
    <w:rsid w:val="00532092"/>
    <w:rsid w:val="00532DC9"/>
    <w:rsid w:val="0053525A"/>
    <w:rsid w:val="00544545"/>
    <w:rsid w:val="005453F7"/>
    <w:rsid w:val="00547EE3"/>
    <w:rsid w:val="005527AD"/>
    <w:rsid w:val="005634F2"/>
    <w:rsid w:val="005707E9"/>
    <w:rsid w:val="005723AA"/>
    <w:rsid w:val="00581A46"/>
    <w:rsid w:val="00582B7E"/>
    <w:rsid w:val="0059212C"/>
    <w:rsid w:val="005A6A73"/>
    <w:rsid w:val="005B09FD"/>
    <w:rsid w:val="005D2C7B"/>
    <w:rsid w:val="005F1138"/>
    <w:rsid w:val="00602B85"/>
    <w:rsid w:val="00612BA9"/>
    <w:rsid w:val="00614C88"/>
    <w:rsid w:val="006216D5"/>
    <w:rsid w:val="006544F7"/>
    <w:rsid w:val="00656B25"/>
    <w:rsid w:val="006577C4"/>
    <w:rsid w:val="00660458"/>
    <w:rsid w:val="00670F24"/>
    <w:rsid w:val="00676502"/>
    <w:rsid w:val="00677C8D"/>
    <w:rsid w:val="00685238"/>
    <w:rsid w:val="00693344"/>
    <w:rsid w:val="006954DB"/>
    <w:rsid w:val="006A099B"/>
    <w:rsid w:val="006A6619"/>
    <w:rsid w:val="006B288A"/>
    <w:rsid w:val="006B3480"/>
    <w:rsid w:val="006D1E29"/>
    <w:rsid w:val="006D5AB1"/>
    <w:rsid w:val="006E6E44"/>
    <w:rsid w:val="00714857"/>
    <w:rsid w:val="00717F64"/>
    <w:rsid w:val="00720FD8"/>
    <w:rsid w:val="00721F9B"/>
    <w:rsid w:val="00724A6D"/>
    <w:rsid w:val="00736248"/>
    <w:rsid w:val="00772077"/>
    <w:rsid w:val="007861CD"/>
    <w:rsid w:val="00796D5E"/>
    <w:rsid w:val="007A593F"/>
    <w:rsid w:val="007C37ED"/>
    <w:rsid w:val="007C7225"/>
    <w:rsid w:val="007E2B59"/>
    <w:rsid w:val="007F29EA"/>
    <w:rsid w:val="00800828"/>
    <w:rsid w:val="0082582D"/>
    <w:rsid w:val="008320A9"/>
    <w:rsid w:val="00860316"/>
    <w:rsid w:val="00870ED9"/>
    <w:rsid w:val="008763DB"/>
    <w:rsid w:val="00877131"/>
    <w:rsid w:val="008B192D"/>
    <w:rsid w:val="008B1EE4"/>
    <w:rsid w:val="008C545E"/>
    <w:rsid w:val="008D0027"/>
    <w:rsid w:val="008D032E"/>
    <w:rsid w:val="008D5359"/>
    <w:rsid w:val="008E0438"/>
    <w:rsid w:val="008E166F"/>
    <w:rsid w:val="008E1D93"/>
    <w:rsid w:val="008E5ACC"/>
    <w:rsid w:val="00920633"/>
    <w:rsid w:val="00931E84"/>
    <w:rsid w:val="009344F2"/>
    <w:rsid w:val="00957546"/>
    <w:rsid w:val="00972419"/>
    <w:rsid w:val="00975E80"/>
    <w:rsid w:val="009B21FD"/>
    <w:rsid w:val="009C729B"/>
    <w:rsid w:val="009D6FE0"/>
    <w:rsid w:val="009E6614"/>
    <w:rsid w:val="00A028ED"/>
    <w:rsid w:val="00A10039"/>
    <w:rsid w:val="00A17D05"/>
    <w:rsid w:val="00A24B97"/>
    <w:rsid w:val="00A32FE6"/>
    <w:rsid w:val="00A37653"/>
    <w:rsid w:val="00A51A05"/>
    <w:rsid w:val="00A706DE"/>
    <w:rsid w:val="00A73015"/>
    <w:rsid w:val="00A7656C"/>
    <w:rsid w:val="00AA1687"/>
    <w:rsid w:val="00AB71E2"/>
    <w:rsid w:val="00AE065C"/>
    <w:rsid w:val="00AE6707"/>
    <w:rsid w:val="00AF1D44"/>
    <w:rsid w:val="00B13674"/>
    <w:rsid w:val="00B159E9"/>
    <w:rsid w:val="00B6036F"/>
    <w:rsid w:val="00B61FA5"/>
    <w:rsid w:val="00B65713"/>
    <w:rsid w:val="00B75F0C"/>
    <w:rsid w:val="00BA6823"/>
    <w:rsid w:val="00BC4422"/>
    <w:rsid w:val="00BD00A4"/>
    <w:rsid w:val="00BD0559"/>
    <w:rsid w:val="00BE0678"/>
    <w:rsid w:val="00BE2DC1"/>
    <w:rsid w:val="00C0657C"/>
    <w:rsid w:val="00C06668"/>
    <w:rsid w:val="00C06A67"/>
    <w:rsid w:val="00C15032"/>
    <w:rsid w:val="00C175BA"/>
    <w:rsid w:val="00C200F3"/>
    <w:rsid w:val="00C227DC"/>
    <w:rsid w:val="00C25A25"/>
    <w:rsid w:val="00C4030D"/>
    <w:rsid w:val="00C4372A"/>
    <w:rsid w:val="00C44195"/>
    <w:rsid w:val="00C507C5"/>
    <w:rsid w:val="00C625BC"/>
    <w:rsid w:val="00C639EA"/>
    <w:rsid w:val="00C655D1"/>
    <w:rsid w:val="00C720AB"/>
    <w:rsid w:val="00C80449"/>
    <w:rsid w:val="00C822B9"/>
    <w:rsid w:val="00C8250E"/>
    <w:rsid w:val="00C87F4E"/>
    <w:rsid w:val="00CC2C59"/>
    <w:rsid w:val="00CC755F"/>
    <w:rsid w:val="00CF14D2"/>
    <w:rsid w:val="00CF24CD"/>
    <w:rsid w:val="00D04900"/>
    <w:rsid w:val="00D31978"/>
    <w:rsid w:val="00D3640E"/>
    <w:rsid w:val="00D42FBB"/>
    <w:rsid w:val="00D44F29"/>
    <w:rsid w:val="00D5101C"/>
    <w:rsid w:val="00D76727"/>
    <w:rsid w:val="00D90189"/>
    <w:rsid w:val="00DA5375"/>
    <w:rsid w:val="00DC32F5"/>
    <w:rsid w:val="00DC33BF"/>
    <w:rsid w:val="00DD5A47"/>
    <w:rsid w:val="00DD5D8A"/>
    <w:rsid w:val="00DE10BD"/>
    <w:rsid w:val="00DE399E"/>
    <w:rsid w:val="00DE6083"/>
    <w:rsid w:val="00E24339"/>
    <w:rsid w:val="00E24969"/>
    <w:rsid w:val="00E35C7E"/>
    <w:rsid w:val="00E57F84"/>
    <w:rsid w:val="00E61930"/>
    <w:rsid w:val="00E65512"/>
    <w:rsid w:val="00E66F5A"/>
    <w:rsid w:val="00E67DBB"/>
    <w:rsid w:val="00E829BB"/>
    <w:rsid w:val="00E841B9"/>
    <w:rsid w:val="00E904FE"/>
    <w:rsid w:val="00E90A42"/>
    <w:rsid w:val="00E91523"/>
    <w:rsid w:val="00E94727"/>
    <w:rsid w:val="00E96175"/>
    <w:rsid w:val="00EA1BA4"/>
    <w:rsid w:val="00EF6880"/>
    <w:rsid w:val="00F128FB"/>
    <w:rsid w:val="00F1593E"/>
    <w:rsid w:val="00F5280C"/>
    <w:rsid w:val="00F55FE2"/>
    <w:rsid w:val="00F870BD"/>
    <w:rsid w:val="00F9083C"/>
    <w:rsid w:val="00F94F6B"/>
    <w:rsid w:val="00FB3C81"/>
    <w:rsid w:val="00FB4927"/>
    <w:rsid w:val="00FB55E5"/>
    <w:rsid w:val="00FD666C"/>
    <w:rsid w:val="00FD7C74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B4084-5C29-4A09-AFF8-9826E8E4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5525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5254"/>
    <w:rPr>
      <w:rFonts w:ascii="Arial" w:eastAsiaTheme="majorEastAsia" w:hAnsi="Arial" w:cstheme="majorBidi"/>
      <w:sz w:val="20"/>
      <w:szCs w:val="20"/>
    </w:rPr>
  </w:style>
  <w:style w:type="table" w:styleId="TableGrid">
    <w:name w:val="Table Grid"/>
    <w:basedOn w:val="TableNormal"/>
    <w:uiPriority w:val="59"/>
    <w:rsid w:val="0023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3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730"/>
  </w:style>
  <w:style w:type="paragraph" w:styleId="Footer">
    <w:name w:val="footer"/>
    <w:basedOn w:val="Normal"/>
    <w:link w:val="FooterChar"/>
    <w:uiPriority w:val="99"/>
    <w:unhideWhenUsed/>
    <w:rsid w:val="0023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730"/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E6707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styleId="Hyperlink">
    <w:name w:val="Hyperlink"/>
    <w:rsid w:val="00AE6707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2A5971"/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3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0C35B6"/>
    <w:pPr>
      <w:suppressAutoHyphens/>
    </w:pPr>
    <w:rPr>
      <w:rFonts w:eastAsia="Times New Roman" w:cs="Calibri"/>
      <w:szCs w:val="20"/>
      <w:lang w:val="sr-Cyrl-CS" w:eastAsia="ar-SA"/>
    </w:rPr>
  </w:style>
  <w:style w:type="character" w:customStyle="1" w:styleId="BodyTextChar">
    <w:name w:val="Body Text Char"/>
    <w:basedOn w:val="DefaultParagraphFont"/>
    <w:link w:val="BodyText"/>
    <w:semiHidden/>
    <w:rsid w:val="000C35B6"/>
    <w:rPr>
      <w:rFonts w:eastAsia="Times New Roman" w:cs="Calibri"/>
      <w:szCs w:val="20"/>
      <w:lang w:val="sr-Cyrl-CS" w:eastAsia="ar-SA"/>
    </w:rPr>
  </w:style>
  <w:style w:type="character" w:customStyle="1" w:styleId="hps">
    <w:name w:val="hps"/>
    <w:basedOn w:val="DefaultParagraphFont"/>
    <w:rsid w:val="002E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s.rs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821DB-BFB4-48BD-AA8A-376128D2BB6C}"/>
</file>

<file path=customXml/itemProps2.xml><?xml version="1.0" encoding="utf-8"?>
<ds:datastoreItem xmlns:ds="http://schemas.openxmlformats.org/officeDocument/2006/customXml" ds:itemID="{E2C4CAD9-1637-461B-ABED-4075C46A40B2}"/>
</file>

<file path=customXml/itemProps3.xml><?xml version="1.0" encoding="utf-8"?>
<ds:datastoreItem xmlns:ds="http://schemas.openxmlformats.org/officeDocument/2006/customXml" ds:itemID="{299C2D1B-76A3-4AC6-AD43-513F73F83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Miloš Žarković</cp:lastModifiedBy>
  <cp:revision>2</cp:revision>
  <cp:lastPrinted>2016-12-01T15:09:00Z</cp:lastPrinted>
  <dcterms:created xsi:type="dcterms:W3CDTF">2016-12-01T15:22:00Z</dcterms:created>
  <dcterms:modified xsi:type="dcterms:W3CDTF">2016-12-01T15:22:00Z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