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15" w:rsidRPr="000905F4" w:rsidRDefault="00BD0115" w:rsidP="00BD0115">
      <w:pPr>
        <w:tabs>
          <w:tab w:val="left" w:pos="8640"/>
        </w:tabs>
        <w:ind w:right="-19"/>
        <w:rPr>
          <w:rFonts w:cs="Arial"/>
          <w:sz w:val="22"/>
          <w:szCs w:val="22"/>
          <w:lang w:val="sr-Cyrl-CS"/>
        </w:rPr>
      </w:pPr>
      <w:r w:rsidRPr="000905F4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0905F4">
        <w:rPr>
          <w:rFonts w:cs="Arial"/>
          <w:sz w:val="22"/>
          <w:szCs w:val="22"/>
          <w:lang w:val="sr-Cyrl-CS"/>
        </w:rPr>
        <w:t>“ БЕОГРАД</w:t>
      </w:r>
    </w:p>
    <w:p w:rsidR="00BD0115" w:rsidRPr="000905F4" w:rsidRDefault="00BD0115" w:rsidP="00BD0115">
      <w:pPr>
        <w:jc w:val="left"/>
        <w:rPr>
          <w:rFonts w:cs="Arial"/>
          <w:sz w:val="22"/>
          <w:szCs w:val="22"/>
          <w:lang w:val="sr-Cyrl-RS"/>
        </w:rPr>
      </w:pPr>
      <w:r w:rsidRPr="000905F4">
        <w:rPr>
          <w:rFonts w:cs="Arial"/>
          <w:sz w:val="22"/>
          <w:szCs w:val="22"/>
        </w:rPr>
        <w:t>УПРAВA</w:t>
      </w:r>
      <w:r w:rsidRPr="000905F4">
        <w:rPr>
          <w:rFonts w:cs="Arial"/>
          <w:sz w:val="22"/>
          <w:szCs w:val="22"/>
          <w:lang w:val="sr-Cyrl-RS"/>
        </w:rPr>
        <w:t xml:space="preserve"> ЈП ЕПС</w:t>
      </w:r>
    </w:p>
    <w:p w:rsidR="00BD0115" w:rsidRPr="000905F4" w:rsidRDefault="00BD0115" w:rsidP="00BD0115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ru-RU"/>
        </w:rPr>
      </w:pPr>
      <w:r w:rsidRPr="000905F4">
        <w:rPr>
          <w:rFonts w:cs="Arial"/>
          <w:sz w:val="22"/>
          <w:szCs w:val="22"/>
          <w:lang w:val="ru-RU"/>
        </w:rPr>
        <w:t>Улица царице Милице број 2</w:t>
      </w:r>
    </w:p>
    <w:p w:rsidR="00BD0115" w:rsidRPr="000905F4" w:rsidRDefault="00BD0115" w:rsidP="00BD0115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sr-Latn-CS"/>
        </w:rPr>
      </w:pPr>
      <w:r w:rsidRPr="000905F4">
        <w:rPr>
          <w:rFonts w:cs="Arial"/>
          <w:sz w:val="22"/>
          <w:szCs w:val="22"/>
          <w:lang w:val="ru-RU"/>
        </w:rPr>
        <w:t xml:space="preserve">Број: </w:t>
      </w:r>
      <w:r w:rsidRPr="000905F4">
        <w:rPr>
          <w:rFonts w:cs="Arial"/>
          <w:sz w:val="22"/>
          <w:szCs w:val="22"/>
          <w:lang w:val="sr-Cyrl-RS"/>
        </w:rPr>
        <w:t>12.01.-</w:t>
      </w:r>
      <w:r w:rsidRPr="000905F4">
        <w:rPr>
          <w:rFonts w:cs="Arial"/>
          <w:sz w:val="22"/>
          <w:szCs w:val="22"/>
          <w:lang w:val="sr-Latn-RS"/>
        </w:rPr>
        <w:t>7245</w:t>
      </w:r>
      <w:r w:rsidRPr="000905F4">
        <w:rPr>
          <w:rFonts w:cs="Arial"/>
          <w:sz w:val="22"/>
          <w:szCs w:val="22"/>
        </w:rPr>
        <w:t>/</w:t>
      </w:r>
      <w:r w:rsidRPr="000905F4">
        <w:rPr>
          <w:rFonts w:cs="Arial"/>
          <w:sz w:val="22"/>
          <w:szCs w:val="22"/>
          <w:lang w:val="sr-Cyrl-RS"/>
        </w:rPr>
        <w:t>17</w:t>
      </w:r>
      <w:r w:rsidRPr="000905F4">
        <w:rPr>
          <w:rFonts w:cs="Arial"/>
          <w:sz w:val="22"/>
          <w:szCs w:val="22"/>
        </w:rPr>
        <w:t>-15</w:t>
      </w:r>
      <w:r w:rsidRPr="000905F4">
        <w:rPr>
          <w:rFonts w:cs="Arial"/>
          <w:sz w:val="22"/>
          <w:szCs w:val="22"/>
          <w:lang w:val="sr-Latn-CS"/>
        </w:rPr>
        <w:tab/>
        <w:t xml:space="preserve">   </w:t>
      </w:r>
    </w:p>
    <w:p w:rsidR="00BD0115" w:rsidRPr="000905F4" w:rsidRDefault="00BD0115" w:rsidP="00BD0115">
      <w:pPr>
        <w:jc w:val="left"/>
        <w:rPr>
          <w:rFonts w:cs="Arial"/>
          <w:sz w:val="22"/>
          <w:szCs w:val="22"/>
          <w:lang w:val="sr-Cyrl-RS"/>
        </w:rPr>
      </w:pPr>
      <w:r w:rsidRPr="000905F4">
        <w:rPr>
          <w:rFonts w:cs="Arial"/>
          <w:sz w:val="22"/>
          <w:szCs w:val="22"/>
          <w:lang w:val="sr-Cyrl-CS"/>
        </w:rPr>
        <w:t>Београд,</w:t>
      </w:r>
      <w:r w:rsidRPr="000905F4">
        <w:rPr>
          <w:rFonts w:cs="Arial"/>
          <w:sz w:val="22"/>
          <w:szCs w:val="22"/>
        </w:rPr>
        <w:t xml:space="preserve"> 01.10.2015. </w:t>
      </w:r>
      <w:r w:rsidRPr="000905F4">
        <w:rPr>
          <w:rFonts w:cs="Arial"/>
          <w:sz w:val="22"/>
          <w:szCs w:val="22"/>
          <w:lang w:val="sr-Cyrl-RS"/>
        </w:rPr>
        <w:t>године</w:t>
      </w:r>
    </w:p>
    <w:p w:rsidR="00BD0115" w:rsidRPr="000905F4" w:rsidRDefault="00BD0115" w:rsidP="00BD0115">
      <w:pPr>
        <w:jc w:val="left"/>
        <w:rPr>
          <w:rFonts w:cs="Arial"/>
          <w:sz w:val="22"/>
          <w:szCs w:val="22"/>
          <w:lang w:val="sr-Cyrl-CS"/>
        </w:rPr>
      </w:pPr>
    </w:p>
    <w:p w:rsidR="00BD0115" w:rsidRPr="000905F4" w:rsidRDefault="00BD0115" w:rsidP="00BD0115">
      <w:pPr>
        <w:jc w:val="left"/>
        <w:rPr>
          <w:rFonts w:cs="Arial"/>
          <w:sz w:val="22"/>
          <w:szCs w:val="22"/>
          <w:lang w:val="sr-Cyrl-CS"/>
        </w:rPr>
      </w:pPr>
    </w:p>
    <w:p w:rsidR="00BD0115" w:rsidRDefault="00BD0115" w:rsidP="00BD0115">
      <w:pPr>
        <w:rPr>
          <w:rFonts w:cs="Arial"/>
          <w:sz w:val="22"/>
          <w:szCs w:val="22"/>
          <w:lang w:val="sr-Cyrl-RS"/>
        </w:rPr>
      </w:pPr>
      <w:r w:rsidRPr="000905F4">
        <w:rPr>
          <w:rFonts w:cs="Arial"/>
          <w:b/>
          <w:sz w:val="22"/>
          <w:szCs w:val="22"/>
          <w:lang w:val="sr-Cyrl-CS"/>
        </w:rPr>
        <w:t>Предмет: измена и допуна конкурсне документације број 1</w:t>
      </w:r>
      <w:r w:rsidRPr="000905F4">
        <w:rPr>
          <w:rFonts w:cs="Arial"/>
          <w:sz w:val="22"/>
          <w:szCs w:val="22"/>
          <w:lang w:val="sr-Cyrl-CS"/>
        </w:rPr>
        <w:t xml:space="preserve">. у складу са чланом 63. став 1. </w:t>
      </w:r>
      <w:r w:rsidRPr="000905F4">
        <w:rPr>
          <w:rFonts w:cs="Arial"/>
          <w:sz w:val="22"/>
          <w:szCs w:val="22"/>
          <w:lang w:val="ru-RU"/>
        </w:rPr>
        <w:t xml:space="preserve">Закона о јавним набавкама („Службени гласник Републике Србије“, број 124/12,14/15 </w:t>
      </w:r>
      <w:r w:rsidRPr="000905F4">
        <w:rPr>
          <w:rFonts w:cs="Arial"/>
          <w:sz w:val="22"/>
          <w:szCs w:val="22"/>
          <w:lang w:val="sr-Cyrl-RS"/>
        </w:rPr>
        <w:t xml:space="preserve">и 68/15) </w:t>
      </w:r>
      <w:r w:rsidRPr="000905F4">
        <w:rPr>
          <w:rFonts w:cs="Arial"/>
          <w:sz w:val="22"/>
          <w:szCs w:val="22"/>
          <w:lang w:val="ru-RU"/>
        </w:rPr>
        <w:t xml:space="preserve">у </w:t>
      </w:r>
      <w:r w:rsidRPr="000905F4">
        <w:rPr>
          <w:rFonts w:cs="Arial"/>
          <w:sz w:val="22"/>
          <w:szCs w:val="22"/>
          <w:lang w:val="sr-Cyrl-RS"/>
        </w:rPr>
        <w:t>преговарачком поступку без објављивања позива за подношење понуда</w:t>
      </w:r>
      <w:r w:rsidRPr="000905F4">
        <w:rPr>
          <w:rFonts w:cs="Arial"/>
          <w:sz w:val="22"/>
          <w:szCs w:val="22"/>
          <w:lang w:val="ru-RU"/>
        </w:rPr>
        <w:t xml:space="preserve"> јавне набавке </w:t>
      </w:r>
      <w:proofErr w:type="spellStart"/>
      <w:r w:rsidRPr="000905F4">
        <w:rPr>
          <w:rFonts w:cs="Arial"/>
          <w:sz w:val="22"/>
          <w:szCs w:val="22"/>
        </w:rPr>
        <w:t>услуг</w:t>
      </w:r>
      <w:proofErr w:type="spellEnd"/>
      <w:r>
        <w:rPr>
          <w:rFonts w:cs="Arial"/>
          <w:sz w:val="22"/>
          <w:szCs w:val="22"/>
          <w:lang w:val="sr-Cyrl-RS"/>
        </w:rPr>
        <w:t xml:space="preserve">а </w:t>
      </w:r>
      <w:r w:rsidRPr="000905F4">
        <w:rPr>
          <w:rFonts w:cs="Arial"/>
          <w:sz w:val="22"/>
          <w:szCs w:val="22"/>
        </w:rPr>
        <w:t>''</w:t>
      </w:r>
      <w:proofErr w:type="spellStart"/>
      <w:r w:rsidRPr="000905F4">
        <w:rPr>
          <w:rFonts w:cs="Arial"/>
          <w:sz w:val="22"/>
          <w:szCs w:val="22"/>
        </w:rPr>
        <w:t>Усклађивање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техничке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документације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за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изградњу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Пристаништа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Костолац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са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Законом</w:t>
      </w:r>
      <w:proofErr w:type="spellEnd"/>
      <w:r w:rsidRPr="000905F4">
        <w:rPr>
          <w:rFonts w:cs="Arial"/>
          <w:sz w:val="22"/>
          <w:szCs w:val="22"/>
        </w:rPr>
        <w:t xml:space="preserve"> о </w:t>
      </w:r>
      <w:proofErr w:type="spellStart"/>
      <w:r w:rsidRPr="000905F4">
        <w:rPr>
          <w:rFonts w:cs="Arial"/>
          <w:sz w:val="22"/>
          <w:szCs w:val="22"/>
        </w:rPr>
        <w:t>изменама</w:t>
      </w:r>
      <w:proofErr w:type="spellEnd"/>
      <w:r w:rsidRPr="000905F4">
        <w:rPr>
          <w:rFonts w:cs="Arial"/>
          <w:sz w:val="22"/>
          <w:szCs w:val="22"/>
        </w:rPr>
        <w:t xml:space="preserve"> и </w:t>
      </w:r>
      <w:proofErr w:type="spellStart"/>
      <w:r w:rsidRPr="000905F4">
        <w:rPr>
          <w:rFonts w:cs="Arial"/>
          <w:sz w:val="22"/>
          <w:szCs w:val="22"/>
        </w:rPr>
        <w:t>допунама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Закона</w:t>
      </w:r>
      <w:proofErr w:type="spellEnd"/>
      <w:r w:rsidRPr="000905F4">
        <w:rPr>
          <w:rFonts w:cs="Arial"/>
          <w:sz w:val="22"/>
          <w:szCs w:val="22"/>
        </w:rPr>
        <w:t xml:space="preserve"> о </w:t>
      </w:r>
      <w:proofErr w:type="spellStart"/>
      <w:r w:rsidRPr="000905F4">
        <w:rPr>
          <w:rFonts w:cs="Arial"/>
          <w:sz w:val="22"/>
          <w:szCs w:val="22"/>
        </w:rPr>
        <w:t>планирању</w:t>
      </w:r>
      <w:proofErr w:type="spellEnd"/>
      <w:r w:rsidRPr="000905F4">
        <w:rPr>
          <w:rFonts w:cs="Arial"/>
          <w:sz w:val="22"/>
          <w:szCs w:val="22"/>
        </w:rPr>
        <w:t xml:space="preserve"> и </w:t>
      </w:r>
      <w:proofErr w:type="spellStart"/>
      <w:r w:rsidRPr="000905F4">
        <w:rPr>
          <w:rFonts w:cs="Arial"/>
          <w:sz w:val="22"/>
          <w:szCs w:val="22"/>
        </w:rPr>
        <w:t>изградњи</w:t>
      </w:r>
      <w:proofErr w:type="spellEnd"/>
      <w:r w:rsidRPr="000905F4">
        <w:rPr>
          <w:rFonts w:cs="Arial"/>
          <w:sz w:val="22"/>
          <w:szCs w:val="22"/>
        </w:rPr>
        <w:t xml:space="preserve"> (СГРС 132/14) и </w:t>
      </w:r>
      <w:proofErr w:type="spellStart"/>
      <w:r w:rsidRPr="000905F4">
        <w:rPr>
          <w:rFonts w:cs="Arial"/>
          <w:sz w:val="22"/>
          <w:szCs w:val="22"/>
        </w:rPr>
        <w:t>пратећим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подзаконским</w:t>
      </w:r>
      <w:proofErr w:type="spellEnd"/>
      <w:r w:rsidRPr="000905F4">
        <w:rPr>
          <w:rFonts w:cs="Arial"/>
          <w:sz w:val="22"/>
          <w:szCs w:val="22"/>
        </w:rPr>
        <w:t xml:space="preserve"> </w:t>
      </w:r>
      <w:proofErr w:type="spellStart"/>
      <w:r w:rsidRPr="000905F4">
        <w:rPr>
          <w:rFonts w:cs="Arial"/>
          <w:sz w:val="22"/>
          <w:szCs w:val="22"/>
        </w:rPr>
        <w:t>прописима</w:t>
      </w:r>
      <w:proofErr w:type="spellEnd"/>
      <w:r w:rsidRPr="000905F4">
        <w:rPr>
          <w:rFonts w:cs="Arial"/>
          <w:sz w:val="22"/>
          <w:szCs w:val="22"/>
        </w:rPr>
        <w:t>''</w:t>
      </w:r>
      <w:r w:rsidRPr="000905F4">
        <w:rPr>
          <w:rFonts w:cs="Arial"/>
          <w:sz w:val="22"/>
          <w:szCs w:val="22"/>
          <w:lang w:val="sr-Cyrl-RS"/>
        </w:rPr>
        <w:t xml:space="preserve">, ЈН број </w:t>
      </w:r>
      <w:r w:rsidRPr="000905F4">
        <w:rPr>
          <w:rFonts w:cs="Arial"/>
          <w:sz w:val="22"/>
          <w:szCs w:val="22"/>
          <w:lang w:val="sr-Cyrl-RS" w:eastAsia="ar-SA"/>
        </w:rPr>
        <w:t>1000/0332/2015</w:t>
      </w:r>
      <w:r>
        <w:rPr>
          <w:rFonts w:cs="Arial"/>
          <w:sz w:val="22"/>
          <w:szCs w:val="22"/>
          <w:lang w:val="sr-Cyrl-RS"/>
        </w:rPr>
        <w:t>.</w:t>
      </w:r>
      <w:r w:rsidRPr="000905F4">
        <w:rPr>
          <w:rFonts w:cs="Arial"/>
          <w:sz w:val="22"/>
          <w:szCs w:val="22"/>
          <w:lang w:val="sr-Cyrl-RS"/>
        </w:rPr>
        <w:t xml:space="preserve"> </w:t>
      </w:r>
    </w:p>
    <w:p w:rsidR="00BD0115" w:rsidRPr="000905F4" w:rsidRDefault="00BD0115" w:rsidP="00BD0115">
      <w:pPr>
        <w:rPr>
          <w:rFonts w:cs="Arial"/>
          <w:sz w:val="22"/>
          <w:szCs w:val="22"/>
          <w:lang w:val="sr-Cyrl-RS"/>
        </w:rPr>
      </w:pPr>
    </w:p>
    <w:p w:rsidR="00BD0115" w:rsidRPr="000905F4" w:rsidRDefault="00BD0115" w:rsidP="00BD0115">
      <w:pPr>
        <w:rPr>
          <w:rFonts w:cs="Arial"/>
          <w:sz w:val="22"/>
          <w:szCs w:val="22"/>
          <w:lang w:val="sr-Cyrl-RS"/>
        </w:rPr>
      </w:pPr>
      <w:r w:rsidRPr="000905F4">
        <w:rPr>
          <w:rFonts w:cs="Arial"/>
          <w:sz w:val="22"/>
          <w:szCs w:val="22"/>
          <w:lang w:val="sr-Cyrl-RS"/>
        </w:rPr>
        <w:t xml:space="preserve">Конкурсна документација </w:t>
      </w:r>
      <w:r>
        <w:rPr>
          <w:rFonts w:cs="Arial"/>
          <w:sz w:val="22"/>
          <w:szCs w:val="22"/>
          <w:lang w:val="ru-RU"/>
        </w:rPr>
        <w:t xml:space="preserve">у </w:t>
      </w:r>
      <w:r w:rsidRPr="000905F4">
        <w:rPr>
          <w:rFonts w:cs="Arial"/>
          <w:sz w:val="22"/>
          <w:szCs w:val="22"/>
          <w:lang w:val="sr-Cyrl-RS"/>
        </w:rPr>
        <w:t>преговарачком поступку без објављивања позива за подношење понуда</w:t>
      </w:r>
      <w:r w:rsidRPr="000905F4">
        <w:rPr>
          <w:rFonts w:cs="Arial"/>
          <w:sz w:val="22"/>
          <w:szCs w:val="22"/>
          <w:lang w:val="ru-RU"/>
        </w:rPr>
        <w:t xml:space="preserve"> јавне набавке број </w:t>
      </w:r>
      <w:r w:rsidRPr="000905F4">
        <w:rPr>
          <w:rFonts w:eastAsia="TimesNewRomanPSMT" w:cs="Arial"/>
          <w:sz w:val="22"/>
          <w:szCs w:val="22"/>
          <w:lang w:val="sr-Cyrl-RS"/>
        </w:rPr>
        <w:t>1000/0332/2015</w:t>
      </w:r>
      <w:r>
        <w:rPr>
          <w:rFonts w:eastAsia="TimesNewRomanPSMT" w:cs="Arial"/>
          <w:sz w:val="22"/>
          <w:szCs w:val="22"/>
          <w:lang w:val="sr-Cyrl-RS"/>
        </w:rPr>
        <w:t xml:space="preserve"> </w:t>
      </w:r>
      <w:r w:rsidRPr="000905F4">
        <w:rPr>
          <w:rFonts w:cs="Arial"/>
          <w:sz w:val="22"/>
          <w:szCs w:val="22"/>
          <w:lang w:val="sr-Cyrl-RS"/>
        </w:rPr>
        <w:t>се мења на следећи начин:</w:t>
      </w:r>
    </w:p>
    <w:p w:rsidR="00BD0115" w:rsidRPr="000905F4" w:rsidRDefault="00BD0115" w:rsidP="00BD0115">
      <w:pPr>
        <w:rPr>
          <w:rFonts w:cs="Arial"/>
          <w:sz w:val="22"/>
          <w:szCs w:val="22"/>
          <w:lang w:val="sr-Cyrl-RS"/>
        </w:rPr>
      </w:pPr>
    </w:p>
    <w:p w:rsidR="00BD0115" w:rsidRPr="00FA121F" w:rsidRDefault="00BD0115" w:rsidP="00FA121F">
      <w:pPr>
        <w:pStyle w:val="ListParagraph"/>
        <w:numPr>
          <w:ilvl w:val="0"/>
          <w:numId w:val="2"/>
        </w:numPr>
        <w:rPr>
          <w:rFonts w:cs="Arial"/>
          <w:b/>
          <w:bCs/>
          <w:sz w:val="22"/>
          <w:szCs w:val="22"/>
          <w:lang w:val="sr-Cyrl-RS"/>
        </w:rPr>
      </w:pPr>
      <w:r w:rsidRPr="00FA121F">
        <w:rPr>
          <w:rFonts w:cs="Arial"/>
          <w:b/>
          <w:bCs/>
          <w:sz w:val="22"/>
          <w:szCs w:val="22"/>
          <w:lang w:val="sr-Cyrl-RS"/>
        </w:rPr>
        <w:t xml:space="preserve">у делу </w:t>
      </w:r>
      <w:r w:rsidRPr="00FA121F">
        <w:rPr>
          <w:rFonts w:cs="Arial"/>
          <w:b/>
          <w:bCs/>
          <w:sz w:val="22"/>
          <w:szCs w:val="22"/>
          <w:lang w:val="sr-Cyrl-CS"/>
        </w:rPr>
        <w:t xml:space="preserve">3) </w:t>
      </w:r>
      <w:r w:rsidRPr="00FA121F">
        <w:rPr>
          <w:rFonts w:cs="Arial"/>
          <w:b/>
          <w:bCs/>
          <w:sz w:val="22"/>
          <w:szCs w:val="22"/>
          <w:lang w:val="sr-Cyrl-RS"/>
        </w:rPr>
        <w:t xml:space="preserve">обрасца понуде </w:t>
      </w:r>
      <w:r w:rsidRPr="00FA121F">
        <w:rPr>
          <w:rFonts w:cs="Arial"/>
          <w:b/>
          <w:bCs/>
          <w:sz w:val="22"/>
          <w:szCs w:val="22"/>
          <w:lang w:val="sr-Cyrl-CS"/>
        </w:rPr>
        <w:t>ПОНУЂЕНА ЦЕНА, РОК И НАЧИН ПЛАЋАЊА, РОК ИЗВРШЕЊА УСЛУГЕ И рок ВАЖЕЊА ПОНУДЕ</w:t>
      </w:r>
      <w:r w:rsidRPr="00FA121F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FA121F">
        <w:rPr>
          <w:rFonts w:cs="Arial"/>
          <w:b/>
          <w:bCs/>
          <w:sz w:val="22"/>
          <w:szCs w:val="22"/>
          <w:lang w:val="sr-Cyrl-RS"/>
        </w:rPr>
        <w:t xml:space="preserve">мења се </w:t>
      </w:r>
      <w:r w:rsidRPr="00FA121F">
        <w:rPr>
          <w:rFonts w:cs="Arial"/>
          <w:b/>
          <w:bCs/>
          <w:sz w:val="22"/>
          <w:szCs w:val="22"/>
          <w:lang w:val="sr-Cyrl-RS"/>
        </w:rPr>
        <w:t>и гласи:</w:t>
      </w:r>
    </w:p>
    <w:p w:rsidR="00BD0115" w:rsidRPr="00BD0115" w:rsidRDefault="00BD0115" w:rsidP="00BD0115">
      <w:pPr>
        <w:rPr>
          <w:rFonts w:cs="Arial"/>
          <w:b/>
          <w:bCs/>
          <w:sz w:val="22"/>
          <w:szCs w:val="22"/>
          <w:lang w:val="sr-Cyrl-CS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804"/>
      </w:tblGrid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t>Укупна цена услуге без ПДВ-а</w:t>
            </w:r>
          </w:p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t>Цена без ПДВ (за израду документације за потребе обезбеђења статуса лучког оператера, израде идејног решења и прибављања локацијских услова)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t>Цена без ПДВ(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израду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решења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t>Цена без ПДВ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()</w:t>
            </w:r>
          </w:p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(Усклађивање идејног пројекта)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t>Цена без ПДВ(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за усклађивање Главног пројекта у циљу коришћења истог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извођење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t>Цена без ПДВ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(за усклађивање Главног пројекта у циљу коришћења истог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извођење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lastRenderedPageBreak/>
              <w:t>Рок и начин плаћања</w:t>
            </w:r>
          </w:p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а)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ab/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за израду документације за потребе обезбеђења статуса лучког оператера, израде идејног решења и прибављања локацијских услова: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- 100% уговорене цене за израду документације под а) након предаје исте Наручиоцу, на бази прихваћеног извештаја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Cyrl-RS"/>
              </w:rPr>
              <w:t>Пружаоца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услуге, који оверава овлашћени представник Наручиоца за праћење реализације уговора у року од 45 дана од дана пријема исправне фактуре испостављене по том основу.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б)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ab/>
              <w:t xml:space="preserve">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израду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решења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потребе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прибављања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Локацијских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услова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- 100% уговорене цене за израду документације под б) након предаје исте Наручиоцу, на бази прихваћеног извештаја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Cyrl-RS"/>
              </w:rPr>
              <w:t>Пружаоца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услуге, који оверава овлашћени представник Наручиоца за праћење реализације уговора у року од 45 дана од дана пријема исправне фактуре испостављене по том основу. 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в)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ab/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усклађивање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  <w:p w:rsidR="00BD0115" w:rsidRPr="00BD0115" w:rsidRDefault="00BD0115" w:rsidP="00BD0115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- 80% од уговорене цене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усклађивање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платиће се након завршетка усклађивања на бази прихваћеног извештаја </w:t>
            </w:r>
            <w:proofErr w:type="spellStart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>Пружаоца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услуге, који оверава овлашћени представник Наручиоца за праћење реализације уговора у року од 45 дана од дана пријема исправне фактуре испостављене по том основу. и</w:t>
            </w:r>
          </w:p>
          <w:p w:rsidR="00BD0115" w:rsidRPr="00BD0115" w:rsidRDefault="00BD0115" w:rsidP="00BD0115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- 20% од уговорене вредности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усклађивање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према фактури издатој на основу добијеног позитивног Извештаја о извршеној стручној контроли </w:t>
            </w:r>
            <w:proofErr w:type="spellStart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>Ревизоне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комисије надлежног Министарства  У року од 45 дана од дана пријема исправне фактуре испостављене по том основу.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г)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ab/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за усклађивање Главног пројекта у циљу коришћења истог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грађевинску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дозволу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  <w:p w:rsidR="00BD0115" w:rsidRPr="00BD0115" w:rsidRDefault="00BD0115" w:rsidP="00BD0115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- 60% од уговорене цене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припрему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Главног пројекта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грађевинску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дозволу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платиће се по месечним фактурама за уговорени рок израде ове документације. Фактуре се издају сразмерно степену реализације предметне услуге, на бази прихваћених месечних извештаја </w:t>
            </w:r>
            <w:proofErr w:type="spellStart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>Пружаоца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услуге, које оверава овлашћени представник Наручиоца за праћење реализације уговора у року од 45 дана од дана пријема исправне фактуре испостављене по том основу.  и</w:t>
            </w:r>
          </w:p>
          <w:p w:rsidR="00BD0115" w:rsidRPr="00BD0115" w:rsidRDefault="00BD0115" w:rsidP="00BD0115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- 40% од уговорене вредности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припрему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Главног пројекта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грађевинску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дозволу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према фактури издатој на основу добијеног позитивног Извештаја о извршеној техничкој контроли у року од 45 дана од дана пријема исправне фактуре.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д)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ab/>
              <w:t>за усклађивање Главног пројекта у циљу коришћења истог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извођење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  <w:p w:rsidR="00BD0115" w:rsidRPr="00BD0115" w:rsidRDefault="00BD0115" w:rsidP="00BD0115">
            <w:pPr>
              <w:rPr>
                <w:rFonts w:cs="Arial"/>
                <w:iCs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- 100% од уговорене вредности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припрему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Главног пројекта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извођење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након завршетка усклађивања и </w:t>
            </w:r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lastRenderedPageBreak/>
              <w:t xml:space="preserve">добијања позитивног Извештаја о извршеној техничкој контроли Главног пројекта (Пројекта за грађевинску дозволу) према фактури издатој на основу прихваћеног извештаја </w:t>
            </w:r>
            <w:proofErr w:type="spellStart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>Пружаоца</w:t>
            </w:r>
            <w:proofErr w:type="spellEnd"/>
            <w:r w:rsidRPr="00BD0115">
              <w:rPr>
                <w:rFonts w:cs="Arial"/>
                <w:iCs/>
                <w:sz w:val="22"/>
                <w:szCs w:val="22"/>
                <w:lang w:val="sr-Cyrl-RS"/>
              </w:rPr>
              <w:t xml:space="preserve"> услуге, који оверава овлашћени представник Наручиоца за праћење реализације уговора у року од 45 дана од дана пријема исправне фактуре.</w:t>
            </w:r>
            <w:r w:rsidRPr="00BD0115">
              <w:rPr>
                <w:rFonts w:cs="Arial"/>
                <w:iCs/>
                <w:sz w:val="22"/>
                <w:szCs w:val="22"/>
                <w:lang w:val="am-ET"/>
              </w:rPr>
              <w:t>Ако понуђач понуди други начин плаћања, понуда ће бити одбијена као неприхватљива</w:t>
            </w:r>
            <w:r w:rsidRPr="00BD0115">
              <w:rPr>
                <w:rFonts w:cs="Arial"/>
                <w:iCs/>
                <w:sz w:val="22"/>
                <w:szCs w:val="22"/>
                <w:lang w:val="sr-Cyrl-CS"/>
              </w:rPr>
              <w:t>.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iCs/>
                <w:sz w:val="22"/>
                <w:szCs w:val="22"/>
                <w:lang w:val="sr-Cyrl-CS"/>
              </w:rPr>
              <w:t>Рок плаћања је 45 дана од дана пријема исправне фактуре код Наручиоца. Плаћање се врши уплатом на рачун понуђача.</w:t>
            </w:r>
          </w:p>
          <w:p w:rsidR="00BD0115" w:rsidRPr="00BD0115" w:rsidRDefault="00BD0115" w:rsidP="00BD0115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bCs/>
                <w:sz w:val="22"/>
                <w:szCs w:val="22"/>
                <w:lang w:val="ru-RU"/>
              </w:rPr>
              <w:lastRenderedPageBreak/>
              <w:t xml:space="preserve">Рок извршења 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>за израду документације за потребе обезбеђења статуса лучког оператера, израде идејног решења и прибављања локацијских услова: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- </w:t>
            </w:r>
            <w:r w:rsidRPr="00BD0115">
              <w:rPr>
                <w:rFonts w:cs="Arial"/>
                <w:sz w:val="22"/>
                <w:szCs w:val="22"/>
                <w:lang w:val="sr-Cyrl-CS"/>
              </w:rPr>
              <w:t>30 (тридесет) календарских дана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од дана ступања уговора на правну снагу.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Рок извршења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израду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решења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- </w:t>
            </w:r>
            <w:r w:rsidRPr="00BD0115">
              <w:rPr>
                <w:rFonts w:cs="Arial"/>
                <w:sz w:val="22"/>
                <w:szCs w:val="22"/>
                <w:lang w:val="sr-Cyrl-CS"/>
              </w:rPr>
              <w:t>30 (тридесет) календарских дана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од дана ступања уговора на правну снагу</w:t>
            </w: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Рок извршења  за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усклађивање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Идејног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- </w:t>
            </w:r>
            <w:r w:rsidRPr="00BD0115">
              <w:rPr>
                <w:rFonts w:cs="Arial"/>
                <w:sz w:val="22"/>
                <w:szCs w:val="22"/>
                <w:lang w:val="sr-Cyrl-CS"/>
              </w:rPr>
              <w:t>30 (тридесет) календарских дана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од дана ступања уговора на правну снагу</w:t>
            </w: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Рок извршења за усклађивање Главног пројекта у циљу коришћења истог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грађевинску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дозволу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- 45</w:t>
            </w:r>
            <w:r w:rsidRPr="00BD0115">
              <w:rPr>
                <w:rFonts w:cs="Arial"/>
                <w:sz w:val="22"/>
                <w:szCs w:val="22"/>
                <w:lang w:val="sr-Cyrl-CS"/>
              </w:rPr>
              <w:t xml:space="preserve"> (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Cyrl-RS"/>
              </w:rPr>
              <w:t>четрдесетп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CS"/>
              </w:rPr>
              <w:t>ет) календарских дана</w:t>
            </w: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од дана добијања позитивног Извештаја о извршеној стручној контроли Студије оправданости са Идејном пројектом изградње Пристаништа ''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Cyrl-RS"/>
              </w:rPr>
              <w:t>Костолац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''.</w:t>
            </w: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Рок за усклађивање Главног пројекта у циљу коришћења истог као</w:t>
            </w:r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Пројекта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за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Latn-RS"/>
              </w:rPr>
              <w:t>извођење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CS"/>
              </w:rPr>
              <w:t>- 30 (тридесет) календарских дана од дана прибављања грађевинске дозволе за градњу Пристаништа ''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Cyrl-CS"/>
              </w:rPr>
              <w:t>Костолац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CS"/>
              </w:rPr>
              <w:t>''.</w:t>
            </w: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Рок за почетак </w:t>
            </w:r>
            <w:proofErr w:type="spellStart"/>
            <w:r w:rsidRPr="00BD0115">
              <w:rPr>
                <w:rFonts w:cs="Arial"/>
                <w:sz w:val="22"/>
                <w:szCs w:val="22"/>
                <w:lang w:val="sr-Cyrl-RS"/>
              </w:rPr>
              <w:t>иѕвршења</w:t>
            </w:r>
            <w:proofErr w:type="spellEnd"/>
            <w:r w:rsidRPr="00BD0115">
              <w:rPr>
                <w:rFonts w:cs="Arial"/>
                <w:sz w:val="22"/>
                <w:szCs w:val="22"/>
                <w:lang w:val="sr-Cyrl-RS"/>
              </w:rPr>
              <w:t xml:space="preserve"> услуге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RS"/>
              </w:rPr>
            </w:pPr>
            <w:r w:rsidRPr="00BD0115">
              <w:rPr>
                <w:rFonts w:cs="Arial"/>
                <w:sz w:val="22"/>
                <w:szCs w:val="22"/>
                <w:lang w:val="sr-Cyrl-RS"/>
              </w:rPr>
              <w:t>___ дана од дана закључења уговора</w:t>
            </w:r>
          </w:p>
        </w:tc>
      </w:tr>
      <w:tr w:rsidR="00BD0115" w:rsidRPr="00BD0115" w:rsidTr="005B62F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bCs/>
                <w:sz w:val="22"/>
                <w:szCs w:val="22"/>
                <w:lang w:val="sr-Cyrl-CS"/>
              </w:rPr>
              <w:t>Рок важења понуде</w:t>
            </w:r>
          </w:p>
          <w:p w:rsidR="00BD0115" w:rsidRPr="00BD0115" w:rsidRDefault="00BD0115" w:rsidP="00BD0115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CS"/>
              </w:rPr>
              <w:t>_______ дана од дана отварања понуде</w:t>
            </w:r>
          </w:p>
        </w:tc>
      </w:tr>
    </w:tbl>
    <w:p w:rsidR="00BD0115" w:rsidRPr="00BD0115" w:rsidRDefault="00BD0115" w:rsidP="00BD0115">
      <w:pPr>
        <w:rPr>
          <w:rFonts w:cs="Arial"/>
          <w:sz w:val="22"/>
          <w:szCs w:val="22"/>
          <w:lang w:val="sr-Cyrl-CS"/>
        </w:rPr>
      </w:pPr>
    </w:p>
    <w:p w:rsidR="00BD0115" w:rsidRPr="00BD0115" w:rsidRDefault="00BD0115" w:rsidP="00BD0115">
      <w:pPr>
        <w:rPr>
          <w:rFonts w:cs="Arial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26"/>
        <w:gridCol w:w="1973"/>
        <w:gridCol w:w="3761"/>
      </w:tblGrid>
      <w:tr w:rsidR="00BD0115" w:rsidRPr="00BD0115" w:rsidTr="005B62F6">
        <w:trPr>
          <w:jc w:val="center"/>
        </w:trPr>
        <w:tc>
          <w:tcPr>
            <w:tcW w:w="3652" w:type="dxa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1985" w:type="dxa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782" w:type="dxa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  <w:r w:rsidRPr="00BD0115">
              <w:rPr>
                <w:rFonts w:cs="Arial"/>
                <w:sz w:val="22"/>
                <w:szCs w:val="22"/>
                <w:lang w:val="sr-Cyrl-CS"/>
              </w:rPr>
              <w:t>Потпис овлашћеног лица понуђача:</w:t>
            </w:r>
          </w:p>
        </w:tc>
      </w:tr>
      <w:tr w:rsidR="00BD0115" w:rsidRPr="00BD0115" w:rsidTr="005B62F6">
        <w:trPr>
          <w:jc w:val="center"/>
        </w:trPr>
        <w:tc>
          <w:tcPr>
            <w:tcW w:w="3652" w:type="dxa"/>
            <w:vAlign w:val="center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782" w:type="dxa"/>
            <w:vAlign w:val="center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BD0115" w:rsidRPr="00BD0115" w:rsidTr="005B62F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BD0115" w:rsidRPr="00BD0115" w:rsidRDefault="00BD0115" w:rsidP="00BD011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BD0115" w:rsidRPr="00BD0115" w:rsidRDefault="00BD0115" w:rsidP="00BD0115">
      <w:pPr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</w:p>
    <w:p w:rsidR="00BD0115" w:rsidRPr="00BD0115" w:rsidRDefault="00BD0115" w:rsidP="00BD0115">
      <w:pPr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</w:p>
    <w:p w:rsidR="00BD0115" w:rsidRPr="00BD0115" w:rsidRDefault="00BD0115" w:rsidP="00BD0115">
      <w:pPr>
        <w:rPr>
          <w:rFonts w:cs="Arial"/>
          <w:i/>
          <w:iCs/>
          <w:sz w:val="22"/>
          <w:szCs w:val="22"/>
          <w:lang w:val="sr-Cyrl-CS"/>
        </w:rPr>
      </w:pPr>
      <w:r w:rsidRPr="00BD0115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Напомене:</w:t>
      </w:r>
      <w:r w:rsidRPr="00BD0115">
        <w:rPr>
          <w:rFonts w:cs="Arial"/>
          <w:b/>
          <w:bCs/>
          <w:i/>
          <w:iCs/>
          <w:sz w:val="22"/>
          <w:szCs w:val="22"/>
          <w:lang w:val="sr-Cyrl-CS"/>
        </w:rPr>
        <w:t xml:space="preserve"> </w:t>
      </w:r>
    </w:p>
    <w:p w:rsidR="00BD0115" w:rsidRDefault="00BD0115" w:rsidP="00BD0115">
      <w:pPr>
        <w:rPr>
          <w:rFonts w:cs="Arial"/>
          <w:i/>
          <w:iCs/>
          <w:sz w:val="22"/>
          <w:szCs w:val="22"/>
          <w:lang w:val="sr-Cyrl-CS"/>
        </w:rPr>
      </w:pPr>
      <w:r w:rsidRPr="00BD0115">
        <w:rPr>
          <w:rFonts w:cs="Arial"/>
          <w:i/>
          <w:iCs/>
          <w:sz w:val="22"/>
          <w:szCs w:val="22"/>
          <w:lang w:val="sr-Cyrl-CS"/>
        </w:rPr>
        <w:lastRenderedPageBreak/>
        <w:t>Образац понуде понуђач мора да попуни, овери печатом и потпише, чиме потврђује да су тачни подаци који су у обрасцу понуде наведени</w:t>
      </w:r>
    </w:p>
    <w:p w:rsidR="000721D4" w:rsidRDefault="000721D4" w:rsidP="00BD0115">
      <w:pPr>
        <w:rPr>
          <w:rFonts w:cs="Arial"/>
          <w:i/>
          <w:iCs/>
          <w:sz w:val="22"/>
          <w:szCs w:val="22"/>
          <w:lang w:val="sr-Cyrl-CS"/>
        </w:rPr>
      </w:pPr>
    </w:p>
    <w:p w:rsidR="000721D4" w:rsidRDefault="000721D4" w:rsidP="00BD0115">
      <w:pPr>
        <w:rPr>
          <w:rFonts w:cs="Arial"/>
          <w:i/>
          <w:iCs/>
          <w:sz w:val="22"/>
          <w:szCs w:val="22"/>
          <w:lang w:val="sr-Cyrl-CS"/>
        </w:rPr>
      </w:pPr>
    </w:p>
    <w:p w:rsidR="000721D4" w:rsidRPr="00BD0115" w:rsidRDefault="000721D4" w:rsidP="000721D4">
      <w:pPr>
        <w:jc w:val="right"/>
        <w:rPr>
          <w:rFonts w:cs="Arial"/>
          <w:i/>
          <w:iCs/>
          <w:sz w:val="22"/>
          <w:szCs w:val="22"/>
          <w:lang w:val="sr-Cyrl-CS"/>
        </w:rPr>
      </w:pPr>
      <w:r>
        <w:rPr>
          <w:rFonts w:cs="Arial"/>
          <w:i/>
          <w:iCs/>
          <w:sz w:val="22"/>
          <w:szCs w:val="22"/>
          <w:lang w:val="sr-Cyrl-CS"/>
        </w:rPr>
        <w:t>Комисија за јавну набавку</w:t>
      </w:r>
      <w:bookmarkStart w:id="0" w:name="_GoBack"/>
      <w:bookmarkEnd w:id="0"/>
    </w:p>
    <w:p w:rsidR="00BD0115" w:rsidRPr="00BD0115" w:rsidRDefault="00BD0115" w:rsidP="00BD0115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:rsidR="00BD0115" w:rsidRPr="00BD0115" w:rsidRDefault="00BD0115" w:rsidP="00BD0115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:rsidR="00AF0DEA" w:rsidRPr="00A029F6" w:rsidRDefault="00AF0DEA">
      <w:pPr>
        <w:rPr>
          <w:lang w:val="sr-Cyrl-RS"/>
        </w:rPr>
      </w:pPr>
    </w:p>
    <w:sectPr w:rsidR="00AF0DEA" w:rsidRPr="00A0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14074"/>
    <w:multiLevelType w:val="hybridMultilevel"/>
    <w:tmpl w:val="F7DA1488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5010"/>
    <w:multiLevelType w:val="hybridMultilevel"/>
    <w:tmpl w:val="B964E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15"/>
    <w:rsid w:val="000721D4"/>
    <w:rsid w:val="00545ADC"/>
    <w:rsid w:val="00A029F6"/>
    <w:rsid w:val="00AF0DEA"/>
    <w:rsid w:val="00BD0115"/>
    <w:rsid w:val="00F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D247-7028-4B85-8680-BF59D32E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1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011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D011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14530-35F5-4065-8E87-EC0B92A3A34A}"/>
</file>

<file path=customXml/itemProps2.xml><?xml version="1.0" encoding="utf-8"?>
<ds:datastoreItem xmlns:ds="http://schemas.openxmlformats.org/officeDocument/2006/customXml" ds:itemID="{27BE92C2-9125-4E57-84F6-91B3B252751B}"/>
</file>

<file path=customXml/itemProps3.xml><?xml version="1.0" encoding="utf-8"?>
<ds:datastoreItem xmlns:ds="http://schemas.openxmlformats.org/officeDocument/2006/customXml" ds:itemID="{C411882F-5075-4FEC-998D-637CBF170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Vujakovic</cp:lastModifiedBy>
  <cp:revision>5</cp:revision>
  <cp:lastPrinted>2015-10-01T12:03:00Z</cp:lastPrinted>
  <dcterms:created xsi:type="dcterms:W3CDTF">2015-10-01T11:48:00Z</dcterms:created>
  <dcterms:modified xsi:type="dcterms:W3CDTF">2015-10-01T12:03:00Z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